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E3661">
      <w:pPr>
        <w:pStyle w:val="3"/>
        <w:jc w:val="center"/>
        <w:rPr>
          <w:b/>
          <w:sz w:val="24"/>
          <w:szCs w:val="24"/>
          <w:lang w:eastAsia="en-US"/>
        </w:rPr>
      </w:pPr>
      <w:bookmarkStart w:id="7" w:name="_GoBack"/>
      <w:bookmarkEnd w:id="7"/>
      <w:r>
        <w:rPr>
          <w:b/>
          <w:sz w:val="24"/>
          <w:szCs w:val="24"/>
          <w:lang w:eastAsia="en-US"/>
        </w:rPr>
        <w:t>Отчет об итогах голосования</w:t>
      </w:r>
      <w:r>
        <w:rPr>
          <w:b/>
          <w:sz w:val="24"/>
          <w:szCs w:val="24"/>
          <w:lang w:eastAsia="en-US"/>
        </w:rPr>
        <w:br w:type="textWrapping"/>
      </w:r>
      <w:r>
        <w:rPr>
          <w:b/>
          <w:sz w:val="24"/>
          <w:szCs w:val="24"/>
          <w:lang w:eastAsia="en-US"/>
        </w:rPr>
        <w:t xml:space="preserve">на Общем собрании акционеров Акционерного общества </w:t>
      </w:r>
      <w:r>
        <w:rPr>
          <w:b/>
          <w:bCs/>
          <w:sz w:val="24"/>
          <w:szCs w:val="24"/>
        </w:rPr>
        <w:t>«Казанское научно-производственное предприятие «Вертолеты-МИ»</w:t>
      </w:r>
    </w:p>
    <w:p w14:paraId="1586B7D8">
      <w:pPr>
        <w:pStyle w:val="3"/>
        <w:rPr>
          <w:sz w:val="24"/>
          <w:szCs w:val="24"/>
          <w:lang w:eastAsia="en-US"/>
        </w:rPr>
      </w:pPr>
      <w:r>
        <w:rPr>
          <w:sz w:val="24"/>
          <w:szCs w:val="24"/>
          <w:lang w:eastAsia="en-US"/>
        </w:rPr>
        <w:t xml:space="preserve"> </w:t>
      </w:r>
    </w:p>
    <w:p w14:paraId="36FB8306">
      <w:pPr>
        <w:pStyle w:val="3"/>
        <w:jc w:val="both"/>
        <w:rPr>
          <w:sz w:val="24"/>
          <w:szCs w:val="24"/>
          <w:lang w:eastAsia="en-US"/>
        </w:rPr>
      </w:pPr>
      <w:r>
        <w:rPr>
          <w:sz w:val="24"/>
          <w:szCs w:val="24"/>
        </w:rPr>
        <w:t xml:space="preserve">Полное фирменное наименование Общества: </w:t>
      </w:r>
      <w:r>
        <w:rPr>
          <w:i/>
          <w:iCs/>
          <w:sz w:val="24"/>
          <w:szCs w:val="24"/>
        </w:rPr>
        <w:t>Акционерное общество «Казанское научно-производственное предприятие «Вертолеты-МИ» (далее по тексту – Общество)</w:t>
      </w:r>
    </w:p>
    <w:p w14:paraId="3A6EBBF9">
      <w:pPr>
        <w:pStyle w:val="8"/>
        <w:tabs>
          <w:tab w:val="clear" w:pos="4677"/>
          <w:tab w:val="clear" w:pos="9355"/>
        </w:tabs>
        <w:jc w:val="both"/>
        <w:rPr>
          <w:rFonts w:eastAsia="Calibri"/>
          <w:i/>
          <w:iCs/>
          <w:lang w:val="ru-RU"/>
        </w:rPr>
      </w:pPr>
      <w:r>
        <w:t>Место нахождения Общества:</w:t>
      </w:r>
      <w:r>
        <w:rPr>
          <w:i/>
          <w:iCs/>
        </w:rPr>
        <w:t xml:space="preserve"> </w:t>
      </w:r>
      <w:r>
        <w:rPr>
          <w:rFonts w:eastAsia="Calibri"/>
          <w:i/>
          <w:iCs/>
          <w:lang w:val="ru-RU"/>
        </w:rPr>
        <w:t>420085, Республика Татарстан, г. Казань, ул. Тэцевская, д. 14 а</w:t>
      </w:r>
    </w:p>
    <w:p w14:paraId="318D8D5D">
      <w:pPr>
        <w:pStyle w:val="8"/>
        <w:tabs>
          <w:tab w:val="clear" w:pos="4677"/>
          <w:tab w:val="clear" w:pos="9355"/>
        </w:tabs>
        <w:jc w:val="both"/>
        <w:rPr>
          <w:lang w:val="ru-RU"/>
        </w:rPr>
      </w:pPr>
      <w:r>
        <w:t>Вид общего собрания:</w:t>
      </w:r>
      <w:r>
        <w:rPr>
          <w:i/>
          <w:iCs/>
        </w:rPr>
        <w:t xml:space="preserve"> </w:t>
      </w:r>
      <w:r>
        <w:rPr>
          <w:i/>
          <w:iCs/>
          <w:lang w:val="ru-RU"/>
        </w:rPr>
        <w:t>внеочередное</w:t>
      </w:r>
    </w:p>
    <w:p w14:paraId="4199145E">
      <w:pPr>
        <w:pStyle w:val="8"/>
        <w:tabs>
          <w:tab w:val="clear" w:pos="4677"/>
          <w:tab w:val="clear" w:pos="9355"/>
        </w:tabs>
        <w:jc w:val="both"/>
      </w:pPr>
      <w:r>
        <w:t>Форма проведения общего собрания:</w:t>
      </w:r>
      <w:r>
        <w:rPr>
          <w:b/>
          <w:bCs/>
        </w:rPr>
        <w:t xml:space="preserve"> </w:t>
      </w:r>
      <w:r>
        <w:rPr>
          <w:i/>
          <w:iCs/>
        </w:rPr>
        <w:t>собрание</w:t>
      </w:r>
    </w:p>
    <w:p w14:paraId="412ECAF9">
      <w:pPr>
        <w:pStyle w:val="8"/>
        <w:tabs>
          <w:tab w:val="clear" w:pos="4677"/>
          <w:tab w:val="clear" w:pos="9355"/>
        </w:tabs>
        <w:jc w:val="both"/>
        <w:rPr>
          <w:i/>
          <w:iCs/>
          <w:u w:val="single"/>
        </w:rPr>
      </w:pPr>
      <w:r>
        <w:t xml:space="preserve">Дата проведения общего собрания: </w:t>
      </w:r>
      <w:r>
        <w:rPr>
          <w:i/>
          <w:iCs/>
          <w:lang w:val="ru-RU"/>
        </w:rPr>
        <w:t>16 декабря 2019 года</w:t>
      </w:r>
    </w:p>
    <w:p w14:paraId="273140A3">
      <w:pPr>
        <w:pStyle w:val="2"/>
        <w:keepNext w:val="0"/>
        <w:jc w:val="both"/>
        <w:rPr>
          <w:b w:val="0"/>
          <w:bCs w:val="0"/>
          <w:i/>
          <w:iCs/>
          <w:sz w:val="24"/>
          <w:szCs w:val="24"/>
        </w:rPr>
      </w:pPr>
      <w:r>
        <w:rPr>
          <w:b w:val="0"/>
          <w:bCs w:val="0"/>
          <w:sz w:val="24"/>
          <w:szCs w:val="24"/>
        </w:rPr>
        <w:t>Место проведения общего собрания:</w:t>
      </w:r>
      <w:r>
        <w:rPr>
          <w:sz w:val="24"/>
          <w:szCs w:val="24"/>
        </w:rPr>
        <w:t xml:space="preserve"> </w:t>
      </w:r>
      <w:r>
        <w:rPr>
          <w:b w:val="0"/>
          <w:bCs w:val="0"/>
          <w:i/>
          <w:iCs/>
          <w:sz w:val="24"/>
          <w:szCs w:val="24"/>
        </w:rPr>
        <w:t>420085, Республика Татарстан, г. Казань, ул. Тэцевская, д. 14 а</w:t>
      </w:r>
    </w:p>
    <w:p w14:paraId="7D2AA22E">
      <w:pPr>
        <w:pStyle w:val="8"/>
        <w:tabs>
          <w:tab w:val="clear" w:pos="4677"/>
          <w:tab w:val="clear" w:pos="9355"/>
        </w:tabs>
        <w:jc w:val="both"/>
      </w:pPr>
      <w:r>
        <w:t xml:space="preserve">Дата составления списка лиц, имеющих право на участие в общем собрании: </w:t>
      </w:r>
      <w:r>
        <w:rPr>
          <w:i/>
          <w:lang w:val="ru-RU"/>
        </w:rPr>
        <w:t>06 декабря 2019 года</w:t>
      </w:r>
    </w:p>
    <w:p w14:paraId="67492C3A">
      <w:pPr>
        <w:pStyle w:val="3"/>
        <w:rPr>
          <w:b/>
          <w:sz w:val="24"/>
          <w:szCs w:val="24"/>
          <w:lang w:eastAsia="en-US"/>
        </w:rPr>
      </w:pPr>
    </w:p>
    <w:p w14:paraId="5A90CBF8">
      <w:pPr>
        <w:pStyle w:val="3"/>
        <w:rPr>
          <w:rFonts w:eastAsia="Times New Roman"/>
          <w:sz w:val="24"/>
          <w:szCs w:val="24"/>
        </w:rPr>
      </w:pPr>
      <w:r>
        <w:rPr>
          <w:rFonts w:eastAsia="Times New Roman"/>
          <w:sz w:val="24"/>
          <w:szCs w:val="24"/>
        </w:rPr>
        <w:t>В соответствии со ст. 56 Федерального закона от 26 декабря 1995 г. №208-ФЗ «Об акционерных обществах» функции счетной комиссии выполнял Регистратор Общества:</w:t>
      </w:r>
    </w:p>
    <w:p w14:paraId="504BD0FF">
      <w:pPr>
        <w:pStyle w:val="3"/>
        <w:rPr>
          <w:rFonts w:eastAsia="Times New Roman"/>
          <w:sz w:val="24"/>
          <w:szCs w:val="24"/>
          <w:lang w:val="en-US"/>
        </w:rPr>
      </w:pPr>
      <w:r>
        <w:rPr>
          <w:rFonts w:eastAsia="Times New Roman"/>
          <w:sz w:val="24"/>
          <w:szCs w:val="24"/>
        </w:rPr>
        <w:t>Акционерное общество «Регистраторское общество «Статус».</w:t>
      </w:r>
    </w:p>
    <w:p w14:paraId="0BDBE34C">
      <w:pPr>
        <w:pStyle w:val="3"/>
        <w:rPr>
          <w:b/>
          <w:sz w:val="24"/>
          <w:szCs w:val="24"/>
          <w:lang w:val="en-US" w:eastAsia="en-US"/>
        </w:rPr>
      </w:pPr>
    </w:p>
    <w:p w14:paraId="2695110C">
      <w:pPr>
        <w:tabs>
          <w:tab w:val="left" w:pos="900"/>
        </w:tabs>
        <w:autoSpaceDE w:val="0"/>
        <w:autoSpaceDN w:val="0"/>
        <w:adjustRightInd w:val="0"/>
        <w:ind w:right="-427" w:firstLine="567"/>
        <w:rPr>
          <w:u w:val="single"/>
        </w:rPr>
      </w:pPr>
      <w:r>
        <w:rPr>
          <w:b/>
          <w:u w:val="single"/>
        </w:rPr>
        <w:t>Повестка дня:</w:t>
      </w:r>
    </w:p>
    <w:p w14:paraId="7FD597C9">
      <w:pPr>
        <w:pStyle w:val="45"/>
        <w:tabs>
          <w:tab w:val="left" w:pos="284"/>
        </w:tabs>
        <w:jc w:val="both"/>
        <w:rPr>
          <w:lang w:val="ru-RU" w:eastAsia="ru-RU"/>
        </w:rPr>
      </w:pPr>
      <w:r>
        <w:rPr>
          <w:lang w:val="ru-RU" w:eastAsia="ru-RU"/>
        </w:rPr>
        <w:t>1. Избрание председателя и секретаря собрания.</w:t>
      </w:r>
    </w:p>
    <w:p w14:paraId="1D59CC31">
      <w:pPr>
        <w:pStyle w:val="45"/>
        <w:tabs>
          <w:tab w:val="left" w:pos="284"/>
        </w:tabs>
        <w:jc w:val="both"/>
        <w:rPr>
          <w:lang w:val="ru-RU" w:eastAsia="ru-RU"/>
        </w:rPr>
      </w:pPr>
      <w:r>
        <w:rPr>
          <w:lang w:val="ru-RU" w:eastAsia="ru-RU"/>
        </w:rPr>
        <w:t>2. О согласии на совершение крупной сделки – заключение с ПАО «АКИБАНК» (сторона сделки, залогодержатель) договора последующего залога имущества (земельный участок с кадастровым номером 16:50:210202:5, конструкторский корпус с кадастровым номером 16:50:210202:75, склад ОГМ с кадастровым номером 16:50:210202:77, вибростэнд с кадастровым номером 16:50:210202:78, лабораторный корпус с кадастровым номером 16:50:210201:79, производственная часть лабораторного корпуса с кадастровым номером 16:50:210202:79, кирпичный корпус цеха оснастки с кадастровым номером 16:50:210202:81, склад с кадастровым номером 16:50:210202:82, служба ТП с кадастровым номером 16:50:210202:83, автогараж с кадастровым номером 16:50:210202:84,  склад с  кадастровым номером 16:50:210202:85, компрессорная с кадастровым номером 16:50:210202:86,  насосная канализация с кадастровым номером 16:50:210202:87, склад-гараж с кадастровым номером 16:50:210202:88, склад режимных материалов с кадастровым номером 16:50:210202:89, цех оснастки с кадастровым номером 16:50:210202:90, объект незавершенного строительства с кадастровым номером 16:50:210202:183) по залоговой стоимости 108 559 233 (Сто восемь миллионов пятьсот пятьдесят девять тысяч двести тридцать рубля) 79 копеек в целях обеспечения в полном объеме обязательств ООО УК «Тулпар Аэро Групп» по договору об открытии кредитной линии с лимитом выдачи не более 70 000 000 рублей.</w:t>
      </w:r>
    </w:p>
    <w:p w14:paraId="5BF87153">
      <w:pPr>
        <w:pStyle w:val="45"/>
        <w:tabs>
          <w:tab w:val="left" w:pos="284"/>
        </w:tabs>
        <w:jc w:val="both"/>
        <w:rPr>
          <w:lang w:val="ru-RU" w:eastAsia="ru-RU"/>
        </w:rPr>
      </w:pPr>
      <w:r>
        <w:rPr>
          <w:lang w:val="ru-RU" w:eastAsia="ru-RU"/>
        </w:rPr>
        <w:t>3.О согласии на заключение с ПАО «АКИБАНК» договора об открытии кредитной линии с лимитом выдачи не более 25 000 000 рублей.</w:t>
      </w:r>
    </w:p>
    <w:p w14:paraId="4F56B555">
      <w:pPr>
        <w:pStyle w:val="45"/>
        <w:tabs>
          <w:tab w:val="left" w:pos="284"/>
        </w:tabs>
        <w:jc w:val="both"/>
        <w:rPr>
          <w:lang w:val="ru-RU" w:eastAsia="ru-RU"/>
        </w:rPr>
      </w:pPr>
      <w:r>
        <w:rPr>
          <w:lang w:val="ru-RU" w:eastAsia="ru-RU"/>
        </w:rPr>
        <w:t>4.О согласии на совершение крупной сделки – заключение с ПАО «АКИБАНК» (сторона сделки, залогодержатель) договора последующего залога имущества (земельный участок с кадастровым номером 16:50:210202:5, конструкторский корпус с кадастровым номером 16:50:210202:75, склад ОГМ с кадастровым номером 16:50:210202:77, вибростэнд с кадастровым номером 16:50:210202:78, лабораторный корпус с кадастровым номером 16:50:210201:79, производственная часть лабораторного корпуса с кадастровым номером 16:50:210202:79, кирпичный корпус цеха оснастки с кадастровым номером 16:50:210202:81, склад с кадастровым номером 16:50:210202:82, служба ТП с кадастровым номером 16:50:210202:83, автогараж с кадастровым номером 16:50:210202:84,  склад с  кадастровым номером 16:50:210202:85, компрессорная с кадастровым номером 16:50:210202:86,  насосная канализация с кадастровым номером 16:50:210202:87, склад-гараж с кадастровым номером 16:50:210202:88, склад режимных материалов с кадастровым номером 16:50:210202:89, цех оснастки с кадастровым номером 16:50:210202:90, объект незавершенного строительства с кадастровым номером 16:50:210202:183) по залоговой стоимости 108 559 233 (Сто восемь миллионов пятьсот пятьдесят девять тысяч двести тридцать рубля) 79 копеек в целях обеспечения в полном объеме обязательств АО «КНПП Вертолеты-МИ» по договору об открытии кредитной линии с лимитом выдачи не более 25 000 000 рублей».</w:t>
      </w:r>
    </w:p>
    <w:p w14:paraId="07EBF3F3">
      <w:pPr>
        <w:pStyle w:val="45"/>
        <w:tabs>
          <w:tab w:val="left" w:pos="284"/>
        </w:tabs>
        <w:jc w:val="both"/>
        <w:rPr>
          <w:lang w:val="ru-RU"/>
        </w:rPr>
      </w:pPr>
    </w:p>
    <w:p w14:paraId="424F59D7">
      <w:pPr>
        <w:pStyle w:val="8"/>
        <w:tabs>
          <w:tab w:val="clear" w:pos="4677"/>
          <w:tab w:val="clear" w:pos="9355"/>
        </w:tabs>
        <w:jc w:val="both"/>
      </w:pPr>
      <w:r>
        <w:t xml:space="preserve">На </w:t>
      </w:r>
      <w:r>
        <w:rPr>
          <w:lang w:val="ru-RU"/>
        </w:rPr>
        <w:t xml:space="preserve">06 декабря 2019 года </w:t>
      </w:r>
      <w:r>
        <w:t xml:space="preserve">- дату составления списка лиц, имеющих право на участие в общем собрании акционеров АО КНПП «Вертолеты-МИ», число голосов по размещенным голосующим акциям, которыми обладают лица, включенные в Список лиц, </w:t>
      </w:r>
      <w:r>
        <w:rPr>
          <w:b/>
          <w:i/>
          <w:u w:val="single"/>
        </w:rPr>
        <w:t>имевших право на участие</w:t>
      </w:r>
      <w:r>
        <w:t xml:space="preserve"> в общем собрании по всем вопросам повестки дня</w:t>
      </w:r>
      <w:bookmarkStart w:id="0" w:name="OLE_LINK35"/>
      <w:bookmarkEnd w:id="0"/>
      <w:bookmarkStart w:id="1" w:name="OLE_LINK34"/>
      <w:bookmarkEnd w:id="1"/>
      <w:r>
        <w:t xml:space="preserve"> составило: </w:t>
      </w:r>
      <w:r>
        <w:rPr>
          <w:lang w:val="ru-RU"/>
        </w:rPr>
        <w:t>100</w:t>
      </w:r>
      <w:r>
        <w:t>.</w:t>
      </w:r>
    </w:p>
    <w:p w14:paraId="094D0300">
      <w:pPr>
        <w:pStyle w:val="42"/>
        <w:tabs>
          <w:tab w:val="left" w:pos="284"/>
        </w:tabs>
        <w:jc w:val="both"/>
        <w:rPr>
          <w:lang w:val="ru-RU"/>
        </w:rPr>
      </w:pPr>
      <w:r>
        <w:t>Число  голосов, которыми обладали лица, принимающие участие в общем собрании: 80 (восемьдесят) голосов, что составляет 80 % от общего числа голосов.</w:t>
      </w:r>
    </w:p>
    <w:p w14:paraId="69656570">
      <w:pPr>
        <w:pStyle w:val="42"/>
        <w:tabs>
          <w:tab w:val="left" w:pos="284"/>
        </w:tabs>
        <w:jc w:val="both"/>
        <w:rPr>
          <w:lang w:val="ru-RU"/>
        </w:rPr>
      </w:pPr>
      <w:r>
        <w:rPr>
          <w:lang w:val="ru-RU"/>
        </w:rPr>
        <w:t xml:space="preserve">Кворум имелся. </w:t>
      </w:r>
    </w:p>
    <w:p w14:paraId="27D392D7">
      <w:pPr>
        <w:pStyle w:val="12"/>
        <w:tabs>
          <w:tab w:val="left" w:pos="708"/>
        </w:tabs>
        <w:jc w:val="both"/>
      </w:pPr>
      <w:bookmarkStart w:id="2" w:name="OLE_LINK7"/>
      <w:bookmarkEnd w:id="2"/>
      <w:bookmarkStart w:id="3" w:name="OLE_LINK2"/>
      <w:bookmarkEnd w:id="3"/>
      <w:bookmarkStart w:id="4" w:name="OLE_LINK1"/>
      <w:bookmarkEnd w:id="4"/>
      <w:bookmarkStart w:id="5" w:name="OLE_LINK10"/>
      <w:bookmarkEnd w:id="5"/>
      <w:bookmarkStart w:id="6" w:name="OLE_LINK11"/>
      <w:bookmarkEnd w:id="6"/>
      <w:r>
        <w:t>Число голосов, приходившихся на голосующие акции общества по каждому вопросу повестки дня общего собрания, определенное с учетом положений пункта 4.24 Положения Банка России от 16.11.2018 № 660-П «Об общих собраниях акционеров» (Зарегистрировано в Минюсте России 09.01.2019 N 53262):</w:t>
      </w:r>
    </w:p>
    <w:p w14:paraId="0866FE78">
      <w:pPr>
        <w:pStyle w:val="12"/>
        <w:tabs>
          <w:tab w:val="left" w:pos="708"/>
        </w:tabs>
        <w:jc w:val="both"/>
      </w:pPr>
      <w:r>
        <w:t>По вопросам 1,3,4: 100 (сто) голосов.</w:t>
      </w:r>
    </w:p>
    <w:p w14:paraId="32D8C6A3">
      <w:pPr>
        <w:pStyle w:val="12"/>
        <w:tabs>
          <w:tab w:val="left" w:pos="708"/>
        </w:tabs>
        <w:jc w:val="both"/>
      </w:pPr>
      <w:r>
        <w:t>По вопросу 2: при первом подсчете голосов (дача согласие на совершение сделки в качестве крупной) – 100 (сто) голосов;</w:t>
      </w:r>
    </w:p>
    <w:p w14:paraId="3AB66F84">
      <w:pPr>
        <w:pStyle w:val="12"/>
        <w:tabs>
          <w:tab w:val="left" w:pos="708"/>
        </w:tabs>
        <w:jc w:val="both"/>
      </w:pPr>
      <w:r>
        <w:t xml:space="preserve">              при втором подсчете голосов – 29 (двадцать девять) голосов.</w:t>
      </w:r>
    </w:p>
    <w:p w14:paraId="1BCE5292">
      <w:pPr>
        <w:pStyle w:val="12"/>
        <w:tabs>
          <w:tab w:val="left" w:pos="708"/>
        </w:tabs>
        <w:jc w:val="both"/>
      </w:pPr>
      <w:r>
        <w:t>Число голосов, которыми обладали лица, принимающие участие в общем собрании, определенное с учетом положений пункта 4.24 Положения Банка России от 16.11.2018 № 660-П «Об общих собраниях акционеров» (Зарегистрировано в Минюсте России 09.01.2019 N 53262):</w:t>
      </w:r>
    </w:p>
    <w:p w14:paraId="42B75549">
      <w:pPr>
        <w:pStyle w:val="12"/>
        <w:tabs>
          <w:tab w:val="left" w:pos="708"/>
        </w:tabs>
        <w:jc w:val="both"/>
      </w:pPr>
      <w:r>
        <w:t>По вопросам 1,3,4: 80 (восемьдесят) голосов.</w:t>
      </w:r>
    </w:p>
    <w:p w14:paraId="5DD3CC31">
      <w:pPr>
        <w:pStyle w:val="12"/>
        <w:tabs>
          <w:tab w:val="left" w:pos="708"/>
        </w:tabs>
        <w:jc w:val="both"/>
      </w:pPr>
      <w:r>
        <w:t>По вопросу 2: при первом подсчете голосов (дача согласие на совершение сделки в качестве крупной) – 80 (восемьдесят) голосов;</w:t>
      </w:r>
    </w:p>
    <w:p w14:paraId="75BC596E">
      <w:pPr>
        <w:pStyle w:val="12"/>
        <w:tabs>
          <w:tab w:val="left" w:pos="708"/>
        </w:tabs>
        <w:jc w:val="both"/>
      </w:pPr>
      <w:r>
        <w:t xml:space="preserve">              при втором подсчете голосов – 9 (девять) голосов.</w:t>
      </w:r>
    </w:p>
    <w:p w14:paraId="71DEAE80">
      <w:pPr>
        <w:pStyle w:val="12"/>
        <w:tabs>
          <w:tab w:val="left" w:pos="708"/>
        </w:tabs>
        <w:jc w:val="both"/>
        <w:rPr>
          <w:lang w:val="ru-RU"/>
        </w:rPr>
      </w:pPr>
    </w:p>
    <w:p w14:paraId="49C61BEF">
      <w:pPr>
        <w:pStyle w:val="12"/>
        <w:tabs>
          <w:tab w:val="left" w:pos="708"/>
        </w:tabs>
        <w:jc w:val="both"/>
        <w:rPr>
          <w:lang w:val="ru-RU"/>
        </w:rPr>
      </w:pPr>
    </w:p>
    <w:p w14:paraId="4EFF3B78">
      <w:pPr>
        <w:pStyle w:val="55"/>
        <w:rPr>
          <w:b/>
        </w:rPr>
      </w:pPr>
      <w:r>
        <w:rPr>
          <w:b/>
        </w:rPr>
        <w:t>Итоги голосования по вопросу 1 повестки дня:</w:t>
      </w:r>
    </w:p>
    <w:tbl>
      <w:tblPr>
        <w:tblStyle w:val="5"/>
        <w:tblW w:w="9288" w:type="dxa"/>
        <w:tblInd w:w="0" w:type="dxa"/>
        <w:tblLayout w:type="fixed"/>
        <w:tblCellMar>
          <w:top w:w="0" w:type="dxa"/>
          <w:left w:w="108" w:type="dxa"/>
          <w:bottom w:w="0" w:type="dxa"/>
          <w:right w:w="108" w:type="dxa"/>
        </w:tblCellMar>
      </w:tblPr>
      <w:tblGrid>
        <w:gridCol w:w="828"/>
        <w:gridCol w:w="2541"/>
        <w:gridCol w:w="2859"/>
        <w:gridCol w:w="3060"/>
      </w:tblGrid>
      <w:tr w14:paraId="6D1DA011">
        <w:trPr>
          <w:wBefore w:w="0" w:type="dxa"/>
          <w:cantSplit/>
          <w:trHeight w:val="170" w:hRule="exact"/>
        </w:trPr>
        <w:tc>
          <w:tcPr>
            <w:tcW w:w="9288" w:type="dxa"/>
            <w:gridSpan w:val="4"/>
            <w:noWrap w:val="0"/>
            <w:vAlign w:val="top"/>
          </w:tcPr>
          <w:p w14:paraId="42DF441A">
            <w:pPr>
              <w:pStyle w:val="54"/>
            </w:pPr>
          </w:p>
        </w:tc>
      </w:tr>
      <w:tr w14:paraId="4DAA20CD">
        <w:trPr>
          <w:wBefore w:w="0" w:type="dxa"/>
          <w:cantSplit/>
        </w:trPr>
        <w:tc>
          <w:tcPr>
            <w:tcW w:w="828" w:type="dxa"/>
            <w:noWrap w:val="0"/>
            <w:vAlign w:val="top"/>
          </w:tcPr>
          <w:p w14:paraId="387234AF">
            <w:pPr>
              <w:pStyle w:val="54"/>
              <w:keepNext/>
            </w:pPr>
          </w:p>
        </w:tc>
        <w:tc>
          <w:tcPr>
            <w:tcW w:w="2541" w:type="dxa"/>
            <w:noWrap w:val="0"/>
            <w:vAlign w:val="top"/>
          </w:tcPr>
          <w:p w14:paraId="761F7056">
            <w:pPr>
              <w:pStyle w:val="54"/>
              <w:keepNext/>
            </w:pPr>
            <w:r>
              <w:t>«ЗА»</w:t>
            </w:r>
          </w:p>
        </w:tc>
        <w:tc>
          <w:tcPr>
            <w:tcW w:w="2859" w:type="dxa"/>
            <w:noWrap w:val="0"/>
            <w:vAlign w:val="top"/>
          </w:tcPr>
          <w:p w14:paraId="16E61F29">
            <w:pPr>
              <w:pStyle w:val="54"/>
              <w:keepNext/>
              <w:jc w:val="right"/>
            </w:pPr>
            <w:r>
              <w:t>80</w:t>
            </w:r>
          </w:p>
        </w:tc>
        <w:tc>
          <w:tcPr>
            <w:tcW w:w="3060" w:type="dxa"/>
            <w:noWrap w:val="0"/>
            <w:vAlign w:val="top"/>
          </w:tcPr>
          <w:p w14:paraId="57E26CFF">
            <w:pPr>
              <w:pStyle w:val="54"/>
              <w:keepNext/>
              <w:jc w:val="right"/>
            </w:pPr>
            <w:r>
              <w:t>100,0000%</w:t>
            </w:r>
          </w:p>
        </w:tc>
      </w:tr>
      <w:tr w14:paraId="0C421D69">
        <w:trPr>
          <w:wBefore w:w="0" w:type="dxa"/>
          <w:cantSplit/>
        </w:trPr>
        <w:tc>
          <w:tcPr>
            <w:tcW w:w="828" w:type="dxa"/>
            <w:noWrap w:val="0"/>
            <w:vAlign w:val="top"/>
          </w:tcPr>
          <w:p w14:paraId="6A35D403">
            <w:pPr>
              <w:pStyle w:val="54"/>
              <w:keepNext/>
            </w:pPr>
          </w:p>
        </w:tc>
        <w:tc>
          <w:tcPr>
            <w:tcW w:w="2541" w:type="dxa"/>
            <w:noWrap w:val="0"/>
            <w:vAlign w:val="top"/>
          </w:tcPr>
          <w:p w14:paraId="19A77F59">
            <w:pPr>
              <w:pStyle w:val="54"/>
              <w:keepNext/>
            </w:pPr>
            <w:r>
              <w:t>«ПРОТИВ»</w:t>
            </w:r>
          </w:p>
        </w:tc>
        <w:tc>
          <w:tcPr>
            <w:tcW w:w="2859" w:type="dxa"/>
            <w:noWrap w:val="0"/>
            <w:vAlign w:val="top"/>
          </w:tcPr>
          <w:p w14:paraId="68FA1B3D">
            <w:pPr>
              <w:pStyle w:val="54"/>
              <w:keepNext/>
              <w:jc w:val="right"/>
            </w:pPr>
            <w:r>
              <w:t>0</w:t>
            </w:r>
          </w:p>
        </w:tc>
        <w:tc>
          <w:tcPr>
            <w:tcW w:w="3060" w:type="dxa"/>
            <w:noWrap w:val="0"/>
            <w:vAlign w:val="top"/>
          </w:tcPr>
          <w:p w14:paraId="2C4C4BF9">
            <w:pPr>
              <w:pStyle w:val="54"/>
              <w:keepNext/>
              <w:jc w:val="right"/>
            </w:pPr>
            <w:r>
              <w:t>0,0000%</w:t>
            </w:r>
          </w:p>
        </w:tc>
      </w:tr>
      <w:tr w14:paraId="36181EFA">
        <w:trPr>
          <w:wBefore w:w="0" w:type="dxa"/>
          <w:cantSplit/>
        </w:trPr>
        <w:tc>
          <w:tcPr>
            <w:tcW w:w="828" w:type="dxa"/>
            <w:noWrap w:val="0"/>
            <w:vAlign w:val="top"/>
          </w:tcPr>
          <w:p w14:paraId="200D7A10">
            <w:pPr>
              <w:pStyle w:val="54"/>
              <w:keepNext/>
            </w:pPr>
          </w:p>
        </w:tc>
        <w:tc>
          <w:tcPr>
            <w:tcW w:w="2541" w:type="dxa"/>
            <w:noWrap w:val="0"/>
            <w:vAlign w:val="top"/>
          </w:tcPr>
          <w:p w14:paraId="42FF6CB5">
            <w:pPr>
              <w:pStyle w:val="54"/>
              <w:keepNext/>
            </w:pPr>
            <w:r>
              <w:t>«ВОЗДЕРЖАЛСЯ»</w:t>
            </w:r>
          </w:p>
        </w:tc>
        <w:tc>
          <w:tcPr>
            <w:tcW w:w="2859" w:type="dxa"/>
            <w:noWrap w:val="0"/>
            <w:vAlign w:val="top"/>
          </w:tcPr>
          <w:p w14:paraId="6C4D2705">
            <w:pPr>
              <w:pStyle w:val="54"/>
              <w:keepNext/>
              <w:jc w:val="right"/>
            </w:pPr>
            <w:r>
              <w:t>0</w:t>
            </w:r>
          </w:p>
        </w:tc>
        <w:tc>
          <w:tcPr>
            <w:tcW w:w="3060" w:type="dxa"/>
            <w:noWrap w:val="0"/>
            <w:vAlign w:val="top"/>
          </w:tcPr>
          <w:p w14:paraId="18A66975">
            <w:pPr>
              <w:pStyle w:val="54"/>
              <w:keepNext/>
              <w:jc w:val="right"/>
            </w:pPr>
            <w:r>
              <w:t>0,0000%</w:t>
            </w:r>
          </w:p>
        </w:tc>
      </w:tr>
    </w:tbl>
    <w:p w14:paraId="1C9208CE">
      <w:pPr>
        <w:pStyle w:val="53"/>
      </w:pPr>
    </w:p>
    <w:p w14:paraId="6B047D6D">
      <w:pPr>
        <w:pStyle w:val="52"/>
        <w:jc w:val="both"/>
      </w:pPr>
      <w:r>
        <w:t>Число голосов по вопросу 1 повестки дня, которые не подсчитывались, составило:  0 (0,0000%).</w:t>
      </w:r>
    </w:p>
    <w:p w14:paraId="44855AE7">
      <w:pPr>
        <w:pStyle w:val="51"/>
      </w:pPr>
    </w:p>
    <w:p w14:paraId="536F43CD">
      <w:pPr>
        <w:pStyle w:val="50"/>
        <w:rPr>
          <w:u w:val="single"/>
        </w:rPr>
      </w:pPr>
      <w:r>
        <w:rPr>
          <w:u w:val="single"/>
        </w:rPr>
        <w:t>Собрание приняло решение:</w:t>
      </w:r>
    </w:p>
    <w:p w14:paraId="01E0E1B1">
      <w:pPr>
        <w:pStyle w:val="49"/>
        <w:jc w:val="both"/>
        <w:rPr>
          <w:i/>
        </w:rPr>
      </w:pPr>
      <w:r>
        <w:rPr>
          <w:i/>
        </w:rPr>
        <w:t>«Председателем общего собрания избрать Кравцова Тимофея Владимировича, Секретарем общего собрания – Коновалова Дмитрия Александровича».</w:t>
      </w:r>
    </w:p>
    <w:p w14:paraId="0F29AFD1">
      <w:pPr>
        <w:pStyle w:val="48"/>
      </w:pPr>
    </w:p>
    <w:p w14:paraId="22FC03AA">
      <w:pPr>
        <w:pStyle w:val="48"/>
      </w:pPr>
    </w:p>
    <w:p w14:paraId="11433F34">
      <w:pPr>
        <w:pStyle w:val="48"/>
      </w:pPr>
    </w:p>
    <w:p w14:paraId="42684AB7">
      <w:pPr>
        <w:pStyle w:val="63"/>
        <w:rPr>
          <w:b/>
        </w:rPr>
      </w:pPr>
      <w:r>
        <w:rPr>
          <w:b/>
        </w:rPr>
        <w:t>Итоги голосования по вопросу 2 повестки дня:</w:t>
      </w:r>
    </w:p>
    <w:p w14:paraId="43F5D251">
      <w:pPr>
        <w:pStyle w:val="63"/>
        <w:rPr>
          <w:b/>
        </w:rPr>
      </w:pPr>
      <w:r>
        <w:rPr>
          <w:b/>
        </w:rPr>
        <w:t>Первый подсчет (дача согласие на совершение сделки в качестве крупной):</w:t>
      </w:r>
    </w:p>
    <w:tbl>
      <w:tblPr>
        <w:tblStyle w:val="5"/>
        <w:tblW w:w="9288" w:type="dxa"/>
        <w:tblInd w:w="0" w:type="dxa"/>
        <w:tblLayout w:type="fixed"/>
        <w:tblCellMar>
          <w:top w:w="0" w:type="dxa"/>
          <w:left w:w="108" w:type="dxa"/>
          <w:bottom w:w="0" w:type="dxa"/>
          <w:right w:w="108" w:type="dxa"/>
        </w:tblCellMar>
      </w:tblPr>
      <w:tblGrid>
        <w:gridCol w:w="828"/>
        <w:gridCol w:w="2541"/>
        <w:gridCol w:w="2859"/>
        <w:gridCol w:w="3060"/>
      </w:tblGrid>
      <w:tr w14:paraId="64B23022">
        <w:trPr>
          <w:wBefore w:w="0" w:type="dxa"/>
          <w:cantSplit/>
          <w:trHeight w:val="170" w:hRule="exact"/>
        </w:trPr>
        <w:tc>
          <w:tcPr>
            <w:tcW w:w="9288" w:type="dxa"/>
            <w:gridSpan w:val="4"/>
            <w:noWrap w:val="0"/>
            <w:vAlign w:val="top"/>
          </w:tcPr>
          <w:p w14:paraId="1723823D">
            <w:pPr>
              <w:pStyle w:val="62"/>
            </w:pPr>
          </w:p>
        </w:tc>
      </w:tr>
      <w:tr w14:paraId="4B7F32CF">
        <w:trPr>
          <w:wBefore w:w="0" w:type="dxa"/>
          <w:cantSplit/>
        </w:trPr>
        <w:tc>
          <w:tcPr>
            <w:tcW w:w="828" w:type="dxa"/>
            <w:noWrap w:val="0"/>
            <w:vAlign w:val="top"/>
          </w:tcPr>
          <w:p w14:paraId="4756431E">
            <w:pPr>
              <w:pStyle w:val="62"/>
              <w:keepNext/>
            </w:pPr>
          </w:p>
        </w:tc>
        <w:tc>
          <w:tcPr>
            <w:tcW w:w="2541" w:type="dxa"/>
            <w:noWrap w:val="0"/>
            <w:vAlign w:val="top"/>
          </w:tcPr>
          <w:p w14:paraId="1C58F6D9">
            <w:pPr>
              <w:pStyle w:val="62"/>
              <w:keepNext/>
            </w:pPr>
            <w:r>
              <w:t>«ЗА»</w:t>
            </w:r>
          </w:p>
        </w:tc>
        <w:tc>
          <w:tcPr>
            <w:tcW w:w="2859" w:type="dxa"/>
            <w:noWrap w:val="0"/>
            <w:vAlign w:val="top"/>
          </w:tcPr>
          <w:p w14:paraId="5D3B0431">
            <w:pPr>
              <w:pStyle w:val="62"/>
              <w:keepNext/>
              <w:jc w:val="right"/>
            </w:pPr>
            <w:r>
              <w:t>80</w:t>
            </w:r>
          </w:p>
        </w:tc>
        <w:tc>
          <w:tcPr>
            <w:tcW w:w="3060" w:type="dxa"/>
            <w:noWrap w:val="0"/>
            <w:vAlign w:val="top"/>
          </w:tcPr>
          <w:p w14:paraId="356576E4">
            <w:pPr>
              <w:pStyle w:val="62"/>
              <w:keepNext/>
              <w:jc w:val="right"/>
            </w:pPr>
            <w:r>
              <w:t>100,0000%</w:t>
            </w:r>
          </w:p>
        </w:tc>
      </w:tr>
      <w:tr w14:paraId="06C2D8B3">
        <w:trPr>
          <w:wBefore w:w="0" w:type="dxa"/>
          <w:cantSplit/>
        </w:trPr>
        <w:tc>
          <w:tcPr>
            <w:tcW w:w="828" w:type="dxa"/>
            <w:noWrap w:val="0"/>
            <w:vAlign w:val="top"/>
          </w:tcPr>
          <w:p w14:paraId="47FB6E84">
            <w:pPr>
              <w:pStyle w:val="62"/>
              <w:keepNext/>
            </w:pPr>
          </w:p>
        </w:tc>
        <w:tc>
          <w:tcPr>
            <w:tcW w:w="2541" w:type="dxa"/>
            <w:noWrap w:val="0"/>
            <w:vAlign w:val="top"/>
          </w:tcPr>
          <w:p w14:paraId="148772DB">
            <w:pPr>
              <w:pStyle w:val="62"/>
              <w:keepNext/>
            </w:pPr>
            <w:r>
              <w:t>«ПРОТИВ»</w:t>
            </w:r>
          </w:p>
        </w:tc>
        <w:tc>
          <w:tcPr>
            <w:tcW w:w="2859" w:type="dxa"/>
            <w:noWrap w:val="0"/>
            <w:vAlign w:val="top"/>
          </w:tcPr>
          <w:p w14:paraId="2EC5A2B2">
            <w:pPr>
              <w:pStyle w:val="62"/>
              <w:keepNext/>
              <w:jc w:val="right"/>
            </w:pPr>
            <w:r>
              <w:t>0</w:t>
            </w:r>
          </w:p>
        </w:tc>
        <w:tc>
          <w:tcPr>
            <w:tcW w:w="3060" w:type="dxa"/>
            <w:noWrap w:val="0"/>
            <w:vAlign w:val="top"/>
          </w:tcPr>
          <w:p w14:paraId="2999EC86">
            <w:pPr>
              <w:pStyle w:val="62"/>
              <w:keepNext/>
              <w:jc w:val="right"/>
            </w:pPr>
            <w:r>
              <w:t>0,0000%</w:t>
            </w:r>
          </w:p>
        </w:tc>
      </w:tr>
      <w:tr w14:paraId="61049808">
        <w:trPr>
          <w:wBefore w:w="0" w:type="dxa"/>
          <w:cantSplit/>
        </w:trPr>
        <w:tc>
          <w:tcPr>
            <w:tcW w:w="828" w:type="dxa"/>
            <w:noWrap w:val="0"/>
            <w:vAlign w:val="top"/>
          </w:tcPr>
          <w:p w14:paraId="2AE41662">
            <w:pPr>
              <w:pStyle w:val="62"/>
              <w:keepNext/>
            </w:pPr>
          </w:p>
        </w:tc>
        <w:tc>
          <w:tcPr>
            <w:tcW w:w="2541" w:type="dxa"/>
            <w:noWrap w:val="0"/>
            <w:vAlign w:val="top"/>
          </w:tcPr>
          <w:p w14:paraId="5144D398">
            <w:pPr>
              <w:pStyle w:val="62"/>
              <w:keepNext/>
            </w:pPr>
            <w:r>
              <w:t>«ВОЗДЕРЖАЛСЯ»</w:t>
            </w:r>
          </w:p>
        </w:tc>
        <w:tc>
          <w:tcPr>
            <w:tcW w:w="2859" w:type="dxa"/>
            <w:noWrap w:val="0"/>
            <w:vAlign w:val="top"/>
          </w:tcPr>
          <w:p w14:paraId="2851D694">
            <w:pPr>
              <w:pStyle w:val="62"/>
              <w:keepNext/>
              <w:jc w:val="right"/>
            </w:pPr>
            <w:r>
              <w:t>0</w:t>
            </w:r>
          </w:p>
        </w:tc>
        <w:tc>
          <w:tcPr>
            <w:tcW w:w="3060" w:type="dxa"/>
            <w:noWrap w:val="0"/>
            <w:vAlign w:val="top"/>
          </w:tcPr>
          <w:p w14:paraId="1B63C9A3">
            <w:pPr>
              <w:pStyle w:val="62"/>
              <w:keepNext/>
              <w:jc w:val="right"/>
            </w:pPr>
            <w:r>
              <w:t>0,0000%</w:t>
            </w:r>
          </w:p>
        </w:tc>
      </w:tr>
    </w:tbl>
    <w:p w14:paraId="4AAE6E82">
      <w:pPr>
        <w:pStyle w:val="61"/>
      </w:pPr>
    </w:p>
    <w:p w14:paraId="1BF87D93">
      <w:pPr>
        <w:pStyle w:val="60"/>
        <w:jc w:val="both"/>
      </w:pPr>
      <w:r>
        <w:t>Число голосов по вопросу 2 повестки дня, которые не подсчитывались, составило:  0 (0,0000%).</w:t>
      </w:r>
    </w:p>
    <w:p w14:paraId="13A96406">
      <w:pPr>
        <w:pStyle w:val="63"/>
        <w:rPr>
          <w:b/>
        </w:rPr>
      </w:pPr>
      <w:r>
        <w:rPr>
          <w:b/>
        </w:rPr>
        <w:t>Второй подсчет (дача согласия на совершение сделки в качестве сделки с заинтересованностью):</w:t>
      </w:r>
    </w:p>
    <w:p w14:paraId="645AD272">
      <w:pPr>
        <w:pStyle w:val="59"/>
      </w:pPr>
    </w:p>
    <w:tbl>
      <w:tblPr>
        <w:tblStyle w:val="5"/>
        <w:tblW w:w="9288" w:type="dxa"/>
        <w:tblInd w:w="0" w:type="dxa"/>
        <w:tblLayout w:type="fixed"/>
        <w:tblCellMar>
          <w:top w:w="0" w:type="dxa"/>
          <w:left w:w="108" w:type="dxa"/>
          <w:bottom w:w="0" w:type="dxa"/>
          <w:right w:w="108" w:type="dxa"/>
        </w:tblCellMar>
      </w:tblPr>
      <w:tblGrid>
        <w:gridCol w:w="828"/>
        <w:gridCol w:w="2541"/>
        <w:gridCol w:w="2859"/>
        <w:gridCol w:w="3060"/>
      </w:tblGrid>
      <w:tr w14:paraId="702CC39E">
        <w:trPr>
          <w:wBefore w:w="0" w:type="dxa"/>
          <w:cantSplit/>
        </w:trPr>
        <w:tc>
          <w:tcPr>
            <w:tcW w:w="828" w:type="dxa"/>
            <w:noWrap w:val="0"/>
            <w:vAlign w:val="top"/>
          </w:tcPr>
          <w:p w14:paraId="484576B7">
            <w:pPr>
              <w:pStyle w:val="62"/>
              <w:keepNext/>
            </w:pPr>
          </w:p>
        </w:tc>
        <w:tc>
          <w:tcPr>
            <w:tcW w:w="2541" w:type="dxa"/>
            <w:noWrap w:val="0"/>
            <w:vAlign w:val="top"/>
          </w:tcPr>
          <w:p w14:paraId="53D1F951">
            <w:pPr>
              <w:pStyle w:val="62"/>
              <w:keepNext/>
            </w:pPr>
            <w:r>
              <w:t>«ЗА»</w:t>
            </w:r>
          </w:p>
        </w:tc>
        <w:tc>
          <w:tcPr>
            <w:tcW w:w="2859" w:type="dxa"/>
            <w:noWrap w:val="0"/>
            <w:vAlign w:val="top"/>
          </w:tcPr>
          <w:p w14:paraId="2F1F7B17">
            <w:pPr>
              <w:pStyle w:val="62"/>
              <w:keepNext/>
              <w:jc w:val="right"/>
            </w:pPr>
            <w:r>
              <w:t>9</w:t>
            </w:r>
          </w:p>
        </w:tc>
        <w:tc>
          <w:tcPr>
            <w:tcW w:w="3060" w:type="dxa"/>
            <w:noWrap w:val="0"/>
            <w:vAlign w:val="top"/>
          </w:tcPr>
          <w:p w14:paraId="532499B2">
            <w:pPr>
              <w:pStyle w:val="62"/>
              <w:keepNext/>
              <w:jc w:val="right"/>
            </w:pPr>
            <w:r>
              <w:t>100,0000%</w:t>
            </w:r>
          </w:p>
        </w:tc>
      </w:tr>
      <w:tr w14:paraId="6E5395D2">
        <w:trPr>
          <w:wBefore w:w="0" w:type="dxa"/>
          <w:cantSplit/>
        </w:trPr>
        <w:tc>
          <w:tcPr>
            <w:tcW w:w="828" w:type="dxa"/>
            <w:noWrap w:val="0"/>
            <w:vAlign w:val="top"/>
          </w:tcPr>
          <w:p w14:paraId="323EFF57">
            <w:pPr>
              <w:pStyle w:val="62"/>
              <w:keepNext/>
            </w:pPr>
          </w:p>
        </w:tc>
        <w:tc>
          <w:tcPr>
            <w:tcW w:w="2541" w:type="dxa"/>
            <w:noWrap w:val="0"/>
            <w:vAlign w:val="top"/>
          </w:tcPr>
          <w:p w14:paraId="3FE5D094">
            <w:pPr>
              <w:pStyle w:val="62"/>
              <w:keepNext/>
            </w:pPr>
            <w:r>
              <w:t>«ПРОТИВ»</w:t>
            </w:r>
          </w:p>
        </w:tc>
        <w:tc>
          <w:tcPr>
            <w:tcW w:w="2859" w:type="dxa"/>
            <w:noWrap w:val="0"/>
            <w:vAlign w:val="top"/>
          </w:tcPr>
          <w:p w14:paraId="52489330">
            <w:pPr>
              <w:pStyle w:val="62"/>
              <w:keepNext/>
              <w:jc w:val="right"/>
            </w:pPr>
            <w:r>
              <w:t>0</w:t>
            </w:r>
          </w:p>
        </w:tc>
        <w:tc>
          <w:tcPr>
            <w:tcW w:w="3060" w:type="dxa"/>
            <w:noWrap w:val="0"/>
            <w:vAlign w:val="top"/>
          </w:tcPr>
          <w:p w14:paraId="5DEE37EF">
            <w:pPr>
              <w:pStyle w:val="62"/>
              <w:keepNext/>
              <w:jc w:val="right"/>
            </w:pPr>
            <w:r>
              <w:t>0,0000%</w:t>
            </w:r>
          </w:p>
        </w:tc>
      </w:tr>
      <w:tr w14:paraId="79730058">
        <w:trPr>
          <w:wBefore w:w="0" w:type="dxa"/>
          <w:cantSplit/>
        </w:trPr>
        <w:tc>
          <w:tcPr>
            <w:tcW w:w="828" w:type="dxa"/>
            <w:noWrap w:val="0"/>
            <w:vAlign w:val="top"/>
          </w:tcPr>
          <w:p w14:paraId="1868FD47">
            <w:pPr>
              <w:pStyle w:val="62"/>
              <w:keepNext/>
            </w:pPr>
          </w:p>
        </w:tc>
        <w:tc>
          <w:tcPr>
            <w:tcW w:w="2541" w:type="dxa"/>
            <w:noWrap w:val="0"/>
            <w:vAlign w:val="top"/>
          </w:tcPr>
          <w:p w14:paraId="21D80D85">
            <w:pPr>
              <w:pStyle w:val="62"/>
              <w:keepNext/>
            </w:pPr>
            <w:r>
              <w:t>«ВОЗДЕРЖАЛСЯ»</w:t>
            </w:r>
          </w:p>
        </w:tc>
        <w:tc>
          <w:tcPr>
            <w:tcW w:w="2859" w:type="dxa"/>
            <w:noWrap w:val="0"/>
            <w:vAlign w:val="top"/>
          </w:tcPr>
          <w:p w14:paraId="7CB0FB98">
            <w:pPr>
              <w:pStyle w:val="62"/>
              <w:keepNext/>
              <w:jc w:val="right"/>
            </w:pPr>
            <w:r>
              <w:t>0</w:t>
            </w:r>
          </w:p>
        </w:tc>
        <w:tc>
          <w:tcPr>
            <w:tcW w:w="3060" w:type="dxa"/>
            <w:noWrap w:val="0"/>
            <w:vAlign w:val="top"/>
          </w:tcPr>
          <w:p w14:paraId="2F714439">
            <w:pPr>
              <w:pStyle w:val="62"/>
              <w:keepNext/>
              <w:jc w:val="right"/>
            </w:pPr>
            <w:r>
              <w:t>0,0000%</w:t>
            </w:r>
          </w:p>
        </w:tc>
      </w:tr>
    </w:tbl>
    <w:p w14:paraId="5925E417">
      <w:pPr>
        <w:pStyle w:val="59"/>
      </w:pPr>
    </w:p>
    <w:p w14:paraId="576AC0AE">
      <w:pPr>
        <w:pStyle w:val="58"/>
        <w:rPr>
          <w:u w:val="single"/>
        </w:rPr>
      </w:pPr>
      <w:r>
        <w:rPr>
          <w:u w:val="single"/>
        </w:rPr>
        <w:t>Собрание приняло решение:</w:t>
      </w:r>
    </w:p>
    <w:p w14:paraId="7D6DBDEA">
      <w:pPr>
        <w:pStyle w:val="60"/>
        <w:jc w:val="both"/>
        <w:rPr>
          <w:i/>
        </w:rPr>
      </w:pPr>
      <w:r>
        <w:rPr>
          <w:i/>
        </w:rPr>
        <w:t>«Предоставить согласие на совершение с ПАО «АКИБАНК» крупной сделки - договора залога имущества, общей балансовой стоимостью 52 734 146 (Пятьдесят два миллиона семьсот тридцать четыре тысячи сто сорок шесть) руб. 49 коп. по залоговой стоимости 108 559 233 (Сто восемь миллионов пятьсот пятьдесят девять тысяч двести тридцать три) руб. 79 коп., в т.ч.:</w:t>
      </w:r>
    </w:p>
    <w:p w14:paraId="36C5105D">
      <w:pPr>
        <w:pStyle w:val="60"/>
        <w:jc w:val="both"/>
        <w:rPr>
          <w:i/>
        </w:rPr>
      </w:pPr>
      <w:r>
        <w:rPr>
          <w:i/>
        </w:rPr>
        <w:t>- земельный участок, категория земель: земли населенных пунктов, вид разрешенного использования: под здания и сооружения, адрес: установлено относительно ориентира, расположенного в границах участка, почтовый адрес ориентира: Республика Татарстан, г. Казань, Московский район, ул. Тэцевская, площадь: 63110+/-87,92 кв.м., кадастровый номер 16:50:210202:5, балансовой стоимостью 28 387 000 (Двадцать восемь миллионов триста восемьдесят семь тысяч) руб. по залоговой стоимости 63 489 834 (Шестьдесят три миллиона четыреста восемьдесят девять тысяч восемьсот тридцать четыре) руб. 80 коп.;</w:t>
      </w:r>
    </w:p>
    <w:p w14:paraId="3512D077">
      <w:pPr>
        <w:pStyle w:val="60"/>
        <w:jc w:val="both"/>
        <w:rPr>
          <w:i/>
        </w:rPr>
      </w:pPr>
      <w:r>
        <w:rPr>
          <w:i/>
        </w:rPr>
        <w:t>- конструкторский корпус, назначение: нежилое здание, количество этажей, в том числе подземных этажей: 4, в том числе подземных 1, площадь: 5046 кв.м., адрес: Республика Татарстан, г. Казань, ул. Тэцевская, д.14А, кадастровый номер 16:50:210202:75, балансовой стоимостью 2 214 133 (Два миллиона двести четырнадцать тысяч сто тридцать три) руб. 68 коп. по залоговой стоимости 13 013 762 (Тринадцать миллионов тринадцать тысяч семьсот шестьдесят два) руб. 03 коп.;</w:t>
      </w:r>
    </w:p>
    <w:p w14:paraId="65BE50D1">
      <w:pPr>
        <w:pStyle w:val="60"/>
        <w:jc w:val="both"/>
        <w:rPr>
          <w:i/>
        </w:rPr>
      </w:pPr>
      <w:r>
        <w:rPr>
          <w:i/>
        </w:rPr>
        <w:t>- склад ОГМ, назначение: нежилое здание, количество этажей, в том числе подземных этажей: 2, площадь: 326 кв.м., адрес: Республика Татарстан, г. Казань, ул. Тэцевская, д.14А, кадастровый номер 16:50:210202:77, балансовой стоимостью 0,00 руб. по залоговой стоимости 1 184 093 (Один миллион сто восемьдесят четыре тысячи девяносто три) руб. 56 коп.;</w:t>
      </w:r>
    </w:p>
    <w:p w14:paraId="28FE704B">
      <w:pPr>
        <w:pStyle w:val="60"/>
        <w:jc w:val="both"/>
        <w:rPr>
          <w:i/>
        </w:rPr>
      </w:pPr>
      <w:r>
        <w:rPr>
          <w:i/>
        </w:rPr>
        <w:t>- вибростэнд, назначение: нежилое здание, количество этажей, в том числе подземных этажей: 1, площадь: 694,3 кв.м., адрес: Республика Татарстан, г. Казань, ул. Тэцевская, д.14А, кадастровый номер 16:50:210202:78, балансовой стоимостью 1 418 153 (Один миллион четыреста восемнадцать тысяч сто пятьдесят три) руб. 21 коп. по залоговой стоимости 1 193 583 (Один миллион сто девяносто три тысячи пятьсот восемьдесят три) руб. 05 коп.;</w:t>
      </w:r>
    </w:p>
    <w:p w14:paraId="1CFFCB64">
      <w:pPr>
        <w:pStyle w:val="60"/>
        <w:jc w:val="both"/>
        <w:rPr>
          <w:i/>
        </w:rPr>
      </w:pPr>
      <w:r>
        <w:rPr>
          <w:i/>
        </w:rPr>
        <w:t>- лабораторный корпус, назначение: нежилое здание, количество этажей, в том числе подземных этажей: 1, площадь: 362,7 кв.м., адрес: Республика Татарстан, г. Казань, ул. Тэцевская, д.14А, кадастровый номер 16:50:210201:79, балансовой стоимостью 0,00 руб. по залоговой стоимости 1 317 537 (Один миллион триста семнадцать тысяч пятьсот тридцать семь) руб. 63 коп.;</w:t>
      </w:r>
    </w:p>
    <w:p w14:paraId="4D76C802">
      <w:pPr>
        <w:pStyle w:val="60"/>
        <w:jc w:val="both"/>
        <w:rPr>
          <w:i/>
        </w:rPr>
      </w:pPr>
      <w:r>
        <w:rPr>
          <w:i/>
        </w:rPr>
        <w:t>- производственная часть лабораторного корпуса, назначение: нежилое здание, количество этажей, в том числе подземных этажей: 1, площадь: 5848,6 кв.м., адрес: Республика Татарстан, г. Казань, ул. Тэцевская, д.14А, кадастровый номер 16:50:210202:79, балансовой стоимостью 17 380 640 (Семнадцать миллионов  триста восемьдесят тысяч шестьсот сорок) руб. 74 коп. по залоговой стоимости 14 162 863 (Четырнадцать миллионов сто шестьдесят две тысячи восемьсот шестьдесят три) руб. 73 коп.;</w:t>
      </w:r>
    </w:p>
    <w:p w14:paraId="154FA9E2">
      <w:pPr>
        <w:pStyle w:val="60"/>
        <w:jc w:val="both"/>
        <w:rPr>
          <w:i/>
        </w:rPr>
      </w:pPr>
      <w:r>
        <w:rPr>
          <w:i/>
        </w:rPr>
        <w:t>- кирпичный корпус цеха оснастки, назначение: нежилое здание, количество этажей, в том числе подземных этажей: 2, площадь: 1099,3 кв.м., адрес: Республика Татарстан, г. Казань, ул. Тэцевская, д.14А, кадастровый номер 16:50:210202:81, балансовой стоимостью 115 078 (Сто пятнадцать тысяч семьдесят восемь) руб. 58 коп. по залоговой стоимости 3 992 943 (Три миллиона девятьсот девяносто две тысячи девятьсот сорок три) руб. 05 коп.;</w:t>
      </w:r>
    </w:p>
    <w:p w14:paraId="71B4A044">
      <w:pPr>
        <w:pStyle w:val="60"/>
        <w:jc w:val="both"/>
        <w:rPr>
          <w:i/>
        </w:rPr>
      </w:pPr>
      <w:r>
        <w:rPr>
          <w:i/>
        </w:rPr>
        <w:t>- склад, назначение: нежилое здание, количество этажей, в том числе подземных этажей: 1, площадь: 154,2 кв.м., адрес: Республика Татарстан, г. Казань, ул. Тэцевская, д.14А, кадастровый номер 16:50:210202:82, балансовой стоимостью 0,00 руб. по залоговой стоимости 373 346 (Триста семьдесят три тысячи триста сорок шесть) руб. 78 коп.;</w:t>
      </w:r>
    </w:p>
    <w:p w14:paraId="14D2A3B3">
      <w:pPr>
        <w:pStyle w:val="60"/>
        <w:jc w:val="both"/>
        <w:rPr>
          <w:i/>
        </w:rPr>
      </w:pPr>
      <w:r>
        <w:rPr>
          <w:i/>
        </w:rPr>
        <w:t>- служба ТП, назначение: нежилое здание, количество этажей, в том числе подземных этажей: 1, площадь: 149,7 кв.м., адрес: Республика Татарстан, г. Казань, ул. Тэцевская, д.14А, кадастровый номер 16:50:210202:83, балансовой стоимостью 0,00 руб. по залоговой стоимости 362 374 (Триста шестьдесят две тысячи триста семьдесят четыре) руб. 92 коп.;</w:t>
      </w:r>
    </w:p>
    <w:p w14:paraId="53D205C2">
      <w:pPr>
        <w:pStyle w:val="60"/>
        <w:jc w:val="both"/>
        <w:rPr>
          <w:i/>
        </w:rPr>
      </w:pPr>
      <w:r>
        <w:rPr>
          <w:i/>
        </w:rPr>
        <w:t>- автогараж, назначение: нежилое здание, количество этажей, в том числе подземных этажей: 2, площадь: 1072,2 кв.м., адрес: Республика Татарстан, г. Казань, ул. Тэцевская, д.14А, кадастровый номер 16:50:210202:84, балансовой стоимостью 56 492 (Пятьдесят шесть тысяч четыреста девяносто два) руб. 83 коп., по залоговой стоимости 2 596 525 (Два миллиона пятьсот девяносто шесть тысяч пятьсот двадцать пять) руб. 08 коп.;</w:t>
      </w:r>
    </w:p>
    <w:p w14:paraId="4B716443">
      <w:pPr>
        <w:pStyle w:val="60"/>
        <w:jc w:val="both"/>
        <w:rPr>
          <w:i/>
        </w:rPr>
      </w:pPr>
      <w:r>
        <w:rPr>
          <w:i/>
        </w:rPr>
        <w:t>- склад сжатых газов, назначение: нежилое здание, количество этажей, в том числе подземных этажей: 2, площадь: 151,2 кв.м., адрес: Республика Татарстан, г. Казань, ул. Тэцевская, д.14А, кадастровый номер 16:50:210202:85, балансовой стоимостью 0,00 руб. по залоговой стоимости 278 156 (Двести семьдесят восемь тысяч сто пятьдесят шесть) руб. 61 коп.;</w:t>
      </w:r>
    </w:p>
    <w:p w14:paraId="5106B83E">
      <w:pPr>
        <w:pStyle w:val="60"/>
        <w:jc w:val="both"/>
        <w:rPr>
          <w:i/>
        </w:rPr>
      </w:pPr>
      <w:r>
        <w:rPr>
          <w:i/>
        </w:rPr>
        <w:t>- компрессорная, назначение: нежилое здание, количество этажей, в том числе подземных этажей: 1, площадь: 83,1 кв.м., адрес: Республика Татарстан, г. Казань, ул. Тэцевская, д.14А, кадастровый номер 16:50:210202:86, балансовой стоимостью 0,00 руб. по залоговой стоимости 201 352 (Двести одна тысяча триста пятьдесят два) руб. 20 коп.;</w:t>
      </w:r>
    </w:p>
    <w:p w14:paraId="184F7402">
      <w:pPr>
        <w:pStyle w:val="60"/>
        <w:jc w:val="both"/>
        <w:rPr>
          <w:i/>
        </w:rPr>
      </w:pPr>
      <w:r>
        <w:rPr>
          <w:i/>
        </w:rPr>
        <w:t>- насосная канализационная, назначение: нежилое здание, количество этажей, в том числе подземных этажей: 1, площадь: 27,8 кв.м., адрес: Республика Татарстан, г. Казань, ул. Тэцевская, д.14А, кадастровый номер 16:50:210202:87, балансовой стоимостью 0,00 руб. по залоговой стоимости 51 301 (Пятьдесят одна тысяча триста один) руб. 70 коп.;</w:t>
      </w:r>
    </w:p>
    <w:p w14:paraId="4F051010">
      <w:pPr>
        <w:pStyle w:val="60"/>
        <w:jc w:val="both"/>
        <w:rPr>
          <w:i/>
        </w:rPr>
      </w:pPr>
      <w:r>
        <w:rPr>
          <w:i/>
        </w:rPr>
        <w:t>- склад-гараж, назначение: нежилое здание, количество этажей, в том числе подземных этажей: 2, площадь: 345 кв.м., адрес: Республика Татарстан, г. Казань, ул. Тэцевская, д.14А, кадастровый номер 16:50:210202:88, балансовой стоимостью 56 492 (Пятьдесят шесть тысяч четыреста девяносто два) руб. 83 коп. по залоговой стоимости 835 360 (Восемьсот тридцать пять тысяч триста шестьдесят) руб. 00 коп.;</w:t>
      </w:r>
    </w:p>
    <w:p w14:paraId="598E0AE2">
      <w:pPr>
        <w:pStyle w:val="60"/>
        <w:jc w:val="both"/>
        <w:rPr>
          <w:i/>
        </w:rPr>
      </w:pPr>
      <w:r>
        <w:rPr>
          <w:i/>
        </w:rPr>
        <w:t>- склад режимных материалов, назначение: нежилое здание, количество этажей, в том числе подземных этажей: 2, площадь: 824,6 кв.м., адрес: Республика Татарстан, г. Казань, ул. Тэцевская, д.14А, кадастровый номер 16:50:210202:89, балансовой стоимостью 37 661 (Тридцать семь тысяч шестьсот шестьдесят один) руб. 89 коп. по залоговой стоимости 1 996 916 (Один миллион девятьсот девяносто шесть тысяч  девятьсот шестнадцать) руб. 27 коп.;</w:t>
      </w:r>
    </w:p>
    <w:p w14:paraId="3C1E5F1B">
      <w:pPr>
        <w:pStyle w:val="60"/>
        <w:jc w:val="both"/>
        <w:rPr>
          <w:i/>
        </w:rPr>
      </w:pPr>
      <w:r>
        <w:rPr>
          <w:i/>
        </w:rPr>
        <w:t>- цех оснастки, назначение: нежилое здание, количество этажей, в том числе подземных этажей: 1, площадь: 1190,2 кв.м., адрес: Республика Татарстан, г. Казань, ул. Тэцевская, д.14А, кадастровый номер 16:50:210202:90, балансовой стоимостью 1 545 274 (Один миллион пятьсот сорок пять тысяч двести семьдесят четыре) руб. 23 коп. по залоговой стоимости 2 882 095 (Два миллиона восемьсот восемьдесят две тысячи девяносто пять) руб. 26 коп.;</w:t>
      </w:r>
    </w:p>
    <w:p w14:paraId="55BD9ED1">
      <w:pPr>
        <w:pStyle w:val="60"/>
        <w:jc w:val="both"/>
        <w:rPr>
          <w:i/>
        </w:rPr>
      </w:pPr>
      <w:r>
        <w:rPr>
          <w:i/>
        </w:rPr>
        <w:t xml:space="preserve">- объект незавершенного строительства, проектируемое назначение: помещение общего пользования, площадь застройки 172,7 кв.м., Республика Татарстан, г. Казань, ул. Тэцевская, кадастровый номер 16:50:210202:183, балансовой стоимостью 1 523 218 (Один миллион пятьсот двадцать три тысячи двести восемнадцать) руб. 50 коп. по залоговой стоимости 627 187 (Шестьсот двадцать семь тысяч сто восемьдесят семь) руб. 12 коп. </w:t>
      </w:r>
    </w:p>
    <w:p w14:paraId="74306F38">
      <w:pPr>
        <w:pStyle w:val="60"/>
        <w:jc w:val="both"/>
        <w:rPr>
          <w:i/>
        </w:rPr>
      </w:pPr>
      <w:r>
        <w:rPr>
          <w:i/>
        </w:rPr>
        <w:t>в целях обеспечения в полном объеме обязательств ООО Управляющая компания «Тулпар Аэро Групп» (далее по тексту - «Заемщик») по договору об открытии кредитной линии с лимитом задолженности №05/19 от 11.02.2019г. на следующих условиях:</w:t>
      </w:r>
    </w:p>
    <w:p w14:paraId="78B584D1">
      <w:pPr>
        <w:pStyle w:val="60"/>
        <w:jc w:val="both"/>
        <w:rPr>
          <w:i/>
        </w:rPr>
      </w:pPr>
      <w:r>
        <w:rPr>
          <w:i/>
        </w:rPr>
        <w:t xml:space="preserve">сумма кредита – 60 000 000 (Шестьдесят миллионов) рублей; </w:t>
      </w:r>
    </w:p>
    <w:p w14:paraId="4F877075">
      <w:pPr>
        <w:pStyle w:val="60"/>
        <w:jc w:val="both"/>
        <w:rPr>
          <w:i/>
        </w:rPr>
      </w:pPr>
      <w:r>
        <w:rPr>
          <w:i/>
        </w:rPr>
        <w:t>•</w:t>
      </w:r>
      <w:r>
        <w:rPr>
          <w:i/>
        </w:rPr>
        <w:tab/>
      </w:r>
      <w:r>
        <w:rPr>
          <w:i/>
        </w:rPr>
        <w:t>процентная ставка за пользование кредитом:</w:t>
      </w:r>
    </w:p>
    <w:p w14:paraId="35664E03">
      <w:pPr>
        <w:pStyle w:val="60"/>
        <w:jc w:val="both"/>
        <w:rPr>
          <w:i/>
        </w:rPr>
      </w:pPr>
      <w:r>
        <w:rPr>
          <w:i/>
        </w:rPr>
        <w:t>- 11,5% (Одиннадцать целых пять десятых) процентов годовых по траншам сроком до 180дней;</w:t>
      </w:r>
    </w:p>
    <w:p w14:paraId="4A784123">
      <w:pPr>
        <w:pStyle w:val="60"/>
        <w:jc w:val="both"/>
        <w:rPr>
          <w:i/>
        </w:rPr>
      </w:pPr>
      <w:r>
        <w:rPr>
          <w:i/>
        </w:rPr>
        <w:t xml:space="preserve">- 12% (Двенадцать) процентов годовых по траншам сроком до 270 дней, </w:t>
      </w:r>
    </w:p>
    <w:p w14:paraId="6D40EA71">
      <w:pPr>
        <w:pStyle w:val="60"/>
        <w:jc w:val="both"/>
        <w:rPr>
          <w:i/>
        </w:rPr>
      </w:pPr>
      <w:r>
        <w:rPr>
          <w:i/>
        </w:rPr>
        <w:t>•</w:t>
      </w:r>
      <w:r>
        <w:rPr>
          <w:i/>
        </w:rPr>
        <w:tab/>
      </w:r>
      <w:r>
        <w:rPr>
          <w:i/>
        </w:rPr>
        <w:t>в случае несвоевременного возврата кредита - увеличенная процентная ставка в размере двойной ключевой ставки Банка России, действующей на дату возникновения несвоевременного возврата кредита, но не менее двойной процентной ставки за пользование кредитом в годовых;</w:t>
      </w:r>
    </w:p>
    <w:p w14:paraId="32808606">
      <w:pPr>
        <w:pStyle w:val="60"/>
        <w:jc w:val="both"/>
        <w:rPr>
          <w:i/>
        </w:rPr>
      </w:pPr>
      <w:r>
        <w:rPr>
          <w:i/>
        </w:rPr>
        <w:t>•</w:t>
      </w:r>
      <w:r>
        <w:rPr>
          <w:i/>
        </w:rPr>
        <w:tab/>
      </w:r>
      <w:r>
        <w:rPr>
          <w:i/>
        </w:rPr>
        <w:t xml:space="preserve">в случае несвоевременного внесения платы за кредит - пени в размере 0,05 % (Ноль целых пять сотых) процента от суммы долга за каждый день просрочки; </w:t>
      </w:r>
    </w:p>
    <w:p w14:paraId="0B76B7A2">
      <w:pPr>
        <w:pStyle w:val="60"/>
        <w:jc w:val="both"/>
        <w:rPr>
          <w:i/>
        </w:rPr>
      </w:pPr>
      <w:r>
        <w:rPr>
          <w:i/>
        </w:rPr>
        <w:t>•</w:t>
      </w:r>
      <w:r>
        <w:rPr>
          <w:i/>
        </w:rPr>
        <w:tab/>
      </w:r>
      <w:r>
        <w:rPr>
          <w:i/>
        </w:rPr>
        <w:t>в случае неисполнения или ненадлежащего исполнения Заемщиком обязанностей по поддержанию ежемесячных кредитовых оборотов по счетам, открытым в Банке, в соответствии с графиком (Приложение №1 к настоящему Протоколу), - увеличенная Банком в одностороннем порядке на 2 (Два) % годовых процентная ставка;</w:t>
      </w:r>
    </w:p>
    <w:p w14:paraId="7631CC09">
      <w:pPr>
        <w:pStyle w:val="60"/>
        <w:jc w:val="both"/>
        <w:rPr>
          <w:i/>
        </w:rPr>
      </w:pPr>
      <w:r>
        <w:rPr>
          <w:i/>
        </w:rPr>
        <w:t>•</w:t>
      </w:r>
      <w:r>
        <w:rPr>
          <w:i/>
        </w:rPr>
        <w:tab/>
      </w:r>
      <w:r>
        <w:rPr>
          <w:i/>
        </w:rPr>
        <w:t>с уплатой ежемесячной комиссии за введение ссудного счета в размере 0,15% (Ноль целых пятнадцать сотых) процента годовых от суммы задолженности по кредиту;</w:t>
      </w:r>
    </w:p>
    <w:p w14:paraId="3B15CDE3">
      <w:pPr>
        <w:pStyle w:val="60"/>
        <w:jc w:val="both"/>
        <w:rPr>
          <w:i/>
        </w:rPr>
      </w:pPr>
      <w:r>
        <w:rPr>
          <w:i/>
        </w:rPr>
        <w:t>•</w:t>
      </w:r>
      <w:r>
        <w:rPr>
          <w:i/>
        </w:rPr>
        <w:tab/>
      </w:r>
      <w:r>
        <w:rPr>
          <w:i/>
        </w:rPr>
        <w:t>с правом Банка в одностороннем порядке увеличить процентную ставку за пользование кредитом в случаях:   1) изменения ставки рефинансирования Банком России; 2) изменения ключевой ставки Банка России; 3) наступления иных обстоятельств, повлекших изменение ситуации на внутреннем и (или) внешнем финансовых рынках при условии, что Банк каждый раз извещает Заемщика о своем намерении увеличить размер процентной ставки в связи с наступлением любого из вышеуказанных обстоятельств в письменном виде не позднее, чем за 10 календарных дней до дня введения в действие новой увеличенной процентной ставки. Новая увеличенная процентная ставка рассчитывается в следующем порядке:</w:t>
      </w:r>
    </w:p>
    <w:p w14:paraId="2A8E908E">
      <w:pPr>
        <w:pStyle w:val="60"/>
        <w:jc w:val="both"/>
        <w:rPr>
          <w:i/>
        </w:rPr>
      </w:pPr>
      <w:r>
        <w:rPr>
          <w:i/>
        </w:rPr>
        <w:t>а) в случае единовременного увеличения размера ключевой ставки и/или ставки рефинансирования не более чем на 3 процентных пункта включительно Банк вправе увеличить процентную ставку по кредиту не более чем на 3 процентных пункта за каждое единовременное увеличение;</w:t>
      </w:r>
    </w:p>
    <w:p w14:paraId="63EF2C49">
      <w:pPr>
        <w:pStyle w:val="60"/>
        <w:jc w:val="both"/>
        <w:rPr>
          <w:i/>
        </w:rPr>
      </w:pPr>
      <w:r>
        <w:rPr>
          <w:i/>
        </w:rPr>
        <w:t>б) в случае единовременного увеличения размера ключевой ставки и/или ставки рефинансирования более чем на 3 процентных пункта Банк вправе увеличить процентную ставку по кредиту на количество процентных пунктов, соответствующее увеличению поименованных в данном пункте ставок Центрального Банка за каждое единовременное увеличение;</w:t>
      </w:r>
    </w:p>
    <w:p w14:paraId="7662B33A">
      <w:pPr>
        <w:pStyle w:val="60"/>
        <w:jc w:val="both"/>
        <w:rPr>
          <w:i/>
        </w:rPr>
      </w:pPr>
      <w:r>
        <w:rPr>
          <w:i/>
        </w:rPr>
        <w:t>в) в случае наступления иных обстоятельств, вследствие которых произошло изменение ситуации на внутреннем и (или) внешнем финансовых рынках, Банк вправе увеличить процентную ставку по кредиту на неограниченное количество процентных пунктов при условии предоставления Заемщику мотивированного обоснования такого увеличения;</w:t>
      </w:r>
    </w:p>
    <w:p w14:paraId="5E1BC2C5">
      <w:pPr>
        <w:pStyle w:val="60"/>
        <w:jc w:val="both"/>
        <w:rPr>
          <w:i/>
        </w:rPr>
      </w:pPr>
      <w:r>
        <w:rPr>
          <w:i/>
        </w:rPr>
        <w:t>•</w:t>
      </w:r>
      <w:r>
        <w:rPr>
          <w:i/>
        </w:rPr>
        <w:tab/>
      </w:r>
      <w:r>
        <w:rPr>
          <w:i/>
        </w:rPr>
        <w:t>с возможностью увеличения  процентной ставки за пользование кредитом по соглашению сторон, без получения дополнительного одобрения со стороны Общего собрания участников Заемщика, но не более чем на 10% (Десять) процентов годовых;</w:t>
      </w:r>
    </w:p>
    <w:p w14:paraId="2576CDB8">
      <w:pPr>
        <w:pStyle w:val="60"/>
        <w:jc w:val="both"/>
        <w:rPr>
          <w:i/>
        </w:rPr>
      </w:pPr>
      <w:r>
        <w:rPr>
          <w:i/>
        </w:rPr>
        <w:t>•</w:t>
      </w:r>
      <w:r>
        <w:rPr>
          <w:i/>
        </w:rPr>
        <w:tab/>
      </w:r>
      <w:r>
        <w:rPr>
          <w:i/>
        </w:rPr>
        <w:t>сроком кредитования – до 31.12.2020 года.</w:t>
      </w:r>
    </w:p>
    <w:p w14:paraId="3F34CAC4">
      <w:pPr>
        <w:pStyle w:val="60"/>
        <w:jc w:val="both"/>
        <w:rPr>
          <w:i/>
        </w:rPr>
      </w:pPr>
      <w:r>
        <w:rPr>
          <w:i/>
        </w:rPr>
        <w:t>Договор залога заключается с условием, что Общество путем подписания данного договора предоставит свое безотзывное и безусловное согласие без оформления дополнительного соглашения к договору залога отвечать за исполнение обязательств Заемщика по вышеуказанному договору об открытии кредитной линии с лимитом   задолженности на измененных условиях в следующих случаях:</w:t>
      </w:r>
    </w:p>
    <w:p w14:paraId="715716FE">
      <w:pPr>
        <w:pStyle w:val="60"/>
        <w:jc w:val="both"/>
        <w:rPr>
          <w:i/>
        </w:rPr>
      </w:pPr>
      <w:r>
        <w:rPr>
          <w:i/>
        </w:rPr>
        <w:t>а) в случае увеличения процентной ставки по договору об открытии кредитной линии с лимитом  задолженности, но не более чем на 10 (Десять)  процентов;</w:t>
      </w:r>
    </w:p>
    <w:p w14:paraId="110E1D36">
      <w:pPr>
        <w:pStyle w:val="60"/>
        <w:jc w:val="both"/>
        <w:rPr>
          <w:rFonts w:eastAsia="Arial"/>
          <w:i/>
          <w:sz w:val="20"/>
          <w:szCs w:val="20"/>
        </w:rPr>
      </w:pPr>
      <w:r>
        <w:rPr>
          <w:i/>
        </w:rPr>
        <w:t>б) в случае изменения срока возврата кредита по договору об открытии кредитной линии с лимитом  задолженности, но не более чем на 12 (Двенадцать) месяцев в случае увеличения такого срока и не более чем на 6 (Шесть) месяцев в случае его сокращения.».</w:t>
      </w:r>
    </w:p>
    <w:p w14:paraId="3D4E8E61">
      <w:pPr>
        <w:pStyle w:val="56"/>
      </w:pPr>
    </w:p>
    <w:p w14:paraId="3F016FA2">
      <w:pPr>
        <w:pStyle w:val="56"/>
      </w:pPr>
    </w:p>
    <w:p w14:paraId="3A51616B">
      <w:pPr>
        <w:pStyle w:val="71"/>
        <w:rPr>
          <w:b/>
        </w:rPr>
      </w:pPr>
      <w:r>
        <w:rPr>
          <w:b/>
        </w:rPr>
        <w:t>Итоги голосования по вопросу 3 повестки дня:</w:t>
      </w:r>
    </w:p>
    <w:tbl>
      <w:tblPr>
        <w:tblStyle w:val="5"/>
        <w:tblW w:w="9288" w:type="dxa"/>
        <w:tblInd w:w="0" w:type="dxa"/>
        <w:tblLayout w:type="fixed"/>
        <w:tblCellMar>
          <w:top w:w="0" w:type="dxa"/>
          <w:left w:w="108" w:type="dxa"/>
          <w:bottom w:w="0" w:type="dxa"/>
          <w:right w:w="108" w:type="dxa"/>
        </w:tblCellMar>
      </w:tblPr>
      <w:tblGrid>
        <w:gridCol w:w="828"/>
        <w:gridCol w:w="2541"/>
        <w:gridCol w:w="2859"/>
        <w:gridCol w:w="3060"/>
      </w:tblGrid>
      <w:tr w14:paraId="758C5B3B">
        <w:trPr>
          <w:wBefore w:w="0" w:type="dxa"/>
          <w:wAfter w:w="0" w:type="dxa"/>
          <w:cantSplit/>
          <w:trHeight w:val="170" w:hRule="exact"/>
        </w:trPr>
        <w:tc>
          <w:tcPr>
            <w:tcW w:w="9288" w:type="dxa"/>
            <w:gridSpan w:val="4"/>
            <w:noWrap w:val="0"/>
            <w:vAlign w:val="top"/>
          </w:tcPr>
          <w:p w14:paraId="04B168CC">
            <w:pPr>
              <w:pStyle w:val="70"/>
            </w:pPr>
          </w:p>
        </w:tc>
      </w:tr>
      <w:tr w14:paraId="08EB0D66">
        <w:trPr>
          <w:wBefore w:w="0" w:type="dxa"/>
          <w:wAfter w:w="0" w:type="dxa"/>
          <w:cantSplit/>
        </w:trPr>
        <w:tc>
          <w:tcPr>
            <w:tcW w:w="828" w:type="dxa"/>
            <w:noWrap w:val="0"/>
            <w:vAlign w:val="top"/>
          </w:tcPr>
          <w:p w14:paraId="33980F92">
            <w:pPr>
              <w:pStyle w:val="70"/>
              <w:keepNext/>
            </w:pPr>
          </w:p>
        </w:tc>
        <w:tc>
          <w:tcPr>
            <w:tcW w:w="2541" w:type="dxa"/>
            <w:noWrap w:val="0"/>
            <w:vAlign w:val="top"/>
          </w:tcPr>
          <w:p w14:paraId="2B8D3982">
            <w:pPr>
              <w:pStyle w:val="54"/>
              <w:keepNext/>
            </w:pPr>
            <w:r>
              <w:t>«ЗА»</w:t>
            </w:r>
          </w:p>
        </w:tc>
        <w:tc>
          <w:tcPr>
            <w:tcW w:w="2859" w:type="dxa"/>
            <w:noWrap w:val="0"/>
            <w:vAlign w:val="top"/>
          </w:tcPr>
          <w:p w14:paraId="0BE72F65">
            <w:pPr>
              <w:pStyle w:val="54"/>
              <w:keepNext/>
              <w:jc w:val="right"/>
            </w:pPr>
            <w:r>
              <w:t>80</w:t>
            </w:r>
          </w:p>
        </w:tc>
        <w:tc>
          <w:tcPr>
            <w:tcW w:w="3060" w:type="dxa"/>
            <w:noWrap w:val="0"/>
            <w:vAlign w:val="top"/>
          </w:tcPr>
          <w:p w14:paraId="3B78000B">
            <w:pPr>
              <w:pStyle w:val="54"/>
              <w:keepNext/>
              <w:jc w:val="right"/>
            </w:pPr>
            <w:r>
              <w:t>100,0000%</w:t>
            </w:r>
          </w:p>
        </w:tc>
      </w:tr>
      <w:tr w14:paraId="6883ADFC">
        <w:trPr>
          <w:wBefore w:w="0" w:type="dxa"/>
          <w:wAfter w:w="0" w:type="dxa"/>
          <w:cantSplit/>
        </w:trPr>
        <w:tc>
          <w:tcPr>
            <w:tcW w:w="828" w:type="dxa"/>
            <w:noWrap w:val="0"/>
            <w:vAlign w:val="top"/>
          </w:tcPr>
          <w:p w14:paraId="6A66E5A4">
            <w:pPr>
              <w:pStyle w:val="70"/>
              <w:keepNext/>
            </w:pPr>
          </w:p>
        </w:tc>
        <w:tc>
          <w:tcPr>
            <w:tcW w:w="2541" w:type="dxa"/>
            <w:noWrap w:val="0"/>
            <w:vAlign w:val="top"/>
          </w:tcPr>
          <w:p w14:paraId="5EC42098">
            <w:pPr>
              <w:pStyle w:val="54"/>
              <w:keepNext/>
            </w:pPr>
            <w:r>
              <w:t>«ПРОТИВ»</w:t>
            </w:r>
          </w:p>
        </w:tc>
        <w:tc>
          <w:tcPr>
            <w:tcW w:w="2859" w:type="dxa"/>
            <w:noWrap w:val="0"/>
            <w:vAlign w:val="top"/>
          </w:tcPr>
          <w:p w14:paraId="33B8473E">
            <w:pPr>
              <w:pStyle w:val="54"/>
              <w:keepNext/>
              <w:jc w:val="right"/>
            </w:pPr>
            <w:r>
              <w:t>0</w:t>
            </w:r>
          </w:p>
        </w:tc>
        <w:tc>
          <w:tcPr>
            <w:tcW w:w="3060" w:type="dxa"/>
            <w:noWrap w:val="0"/>
            <w:vAlign w:val="top"/>
          </w:tcPr>
          <w:p w14:paraId="67BFDC1D">
            <w:pPr>
              <w:pStyle w:val="54"/>
              <w:keepNext/>
              <w:jc w:val="right"/>
            </w:pPr>
            <w:r>
              <w:t>0,0000%</w:t>
            </w:r>
          </w:p>
        </w:tc>
      </w:tr>
      <w:tr w14:paraId="52EDD584">
        <w:trPr>
          <w:wBefore w:w="0" w:type="dxa"/>
          <w:wAfter w:w="0" w:type="dxa"/>
          <w:cantSplit/>
        </w:trPr>
        <w:tc>
          <w:tcPr>
            <w:tcW w:w="828" w:type="dxa"/>
            <w:noWrap w:val="0"/>
            <w:vAlign w:val="top"/>
          </w:tcPr>
          <w:p w14:paraId="1541F5AF">
            <w:pPr>
              <w:pStyle w:val="70"/>
              <w:keepNext/>
            </w:pPr>
          </w:p>
        </w:tc>
        <w:tc>
          <w:tcPr>
            <w:tcW w:w="2541" w:type="dxa"/>
            <w:noWrap w:val="0"/>
            <w:vAlign w:val="top"/>
          </w:tcPr>
          <w:p w14:paraId="386FFE1A">
            <w:pPr>
              <w:pStyle w:val="54"/>
              <w:keepNext/>
            </w:pPr>
            <w:r>
              <w:t>«ВОЗДЕРЖАЛСЯ»</w:t>
            </w:r>
          </w:p>
        </w:tc>
        <w:tc>
          <w:tcPr>
            <w:tcW w:w="2859" w:type="dxa"/>
            <w:noWrap w:val="0"/>
            <w:vAlign w:val="top"/>
          </w:tcPr>
          <w:p w14:paraId="1433C66D">
            <w:pPr>
              <w:pStyle w:val="54"/>
              <w:keepNext/>
              <w:jc w:val="right"/>
            </w:pPr>
            <w:r>
              <w:t>0</w:t>
            </w:r>
          </w:p>
        </w:tc>
        <w:tc>
          <w:tcPr>
            <w:tcW w:w="3060" w:type="dxa"/>
            <w:noWrap w:val="0"/>
            <w:vAlign w:val="top"/>
          </w:tcPr>
          <w:p w14:paraId="62979231">
            <w:pPr>
              <w:pStyle w:val="54"/>
              <w:keepNext/>
              <w:jc w:val="right"/>
            </w:pPr>
            <w:r>
              <w:t>0,0000%</w:t>
            </w:r>
          </w:p>
        </w:tc>
      </w:tr>
    </w:tbl>
    <w:p w14:paraId="5A16C8A0">
      <w:pPr>
        <w:pStyle w:val="69"/>
      </w:pPr>
    </w:p>
    <w:p w14:paraId="369C6EA2">
      <w:pPr>
        <w:pStyle w:val="60"/>
        <w:jc w:val="both"/>
      </w:pPr>
      <w:r>
        <w:t>Число голосов по вопросу 3 повестки дня, которые не подсчитывались, составило:  0 (0,0000%).</w:t>
      </w:r>
    </w:p>
    <w:p w14:paraId="2B754ED8">
      <w:pPr>
        <w:pStyle w:val="59"/>
      </w:pPr>
    </w:p>
    <w:p w14:paraId="42922E44">
      <w:pPr>
        <w:pStyle w:val="58"/>
        <w:rPr>
          <w:u w:val="single"/>
        </w:rPr>
      </w:pPr>
      <w:r>
        <w:rPr>
          <w:u w:val="single"/>
        </w:rPr>
        <w:t>Собрание приняло решение:</w:t>
      </w:r>
    </w:p>
    <w:p w14:paraId="7FF6FEEE">
      <w:pPr>
        <w:pStyle w:val="60"/>
        <w:jc w:val="both"/>
        <w:rPr>
          <w:i/>
        </w:rPr>
      </w:pPr>
      <w:r>
        <w:rPr>
          <w:i/>
        </w:rPr>
        <w:t>«Предоставить согласие на совершение с ПАО «АКИБАНК» крупной сделки - договора об открытии кредитной линии с лимитом задолженности на следующих условиях:</w:t>
      </w:r>
    </w:p>
    <w:p w14:paraId="25337B0A">
      <w:pPr>
        <w:pStyle w:val="60"/>
        <w:jc w:val="both"/>
        <w:rPr>
          <w:i/>
        </w:rPr>
      </w:pPr>
      <w:r>
        <w:rPr>
          <w:i/>
        </w:rPr>
        <w:t>•</w:t>
      </w:r>
      <w:r>
        <w:rPr>
          <w:i/>
        </w:rPr>
        <w:tab/>
      </w:r>
      <w:r>
        <w:rPr>
          <w:i/>
        </w:rPr>
        <w:t xml:space="preserve">сумма кредита – 25 000 000 (Двадцать пять миллионов) рублей; </w:t>
      </w:r>
    </w:p>
    <w:p w14:paraId="632B1520">
      <w:pPr>
        <w:pStyle w:val="60"/>
        <w:jc w:val="both"/>
        <w:rPr>
          <w:i/>
        </w:rPr>
      </w:pPr>
      <w:r>
        <w:rPr>
          <w:i/>
        </w:rPr>
        <w:t>•</w:t>
      </w:r>
      <w:r>
        <w:rPr>
          <w:i/>
        </w:rPr>
        <w:tab/>
      </w:r>
      <w:r>
        <w:rPr>
          <w:i/>
        </w:rPr>
        <w:t xml:space="preserve"> процентная ставка за пользование кредитом – по траншам до 180 дней не более 11,5% (Одиннадцать целых пять десятых) процентов годовых, по траншам до 270 дней не более 11,75% (Одиннадцать целых семьдесят пять сотых) процентов годовых; </w:t>
      </w:r>
    </w:p>
    <w:p w14:paraId="01324C27">
      <w:pPr>
        <w:pStyle w:val="60"/>
        <w:jc w:val="both"/>
        <w:rPr>
          <w:i/>
        </w:rPr>
      </w:pPr>
      <w:r>
        <w:rPr>
          <w:i/>
        </w:rPr>
        <w:t>•</w:t>
      </w:r>
      <w:r>
        <w:rPr>
          <w:i/>
        </w:rPr>
        <w:tab/>
      </w:r>
      <w:r>
        <w:rPr>
          <w:i/>
        </w:rPr>
        <w:t>в случае несвоевременного возврата кредита - увеличенная процентная ставка в размере двойной ключевой ставки Банка России, действующей на дату возникновения несвоевременного возврата кредита, но не менее двойной процентной ставки за пользование кредитом в годовых;</w:t>
      </w:r>
    </w:p>
    <w:p w14:paraId="69C5CFD8">
      <w:pPr>
        <w:pStyle w:val="60"/>
        <w:jc w:val="both"/>
        <w:rPr>
          <w:i/>
        </w:rPr>
      </w:pPr>
      <w:r>
        <w:rPr>
          <w:i/>
        </w:rPr>
        <w:t>•</w:t>
      </w:r>
      <w:r>
        <w:rPr>
          <w:i/>
        </w:rPr>
        <w:tab/>
      </w:r>
      <w:r>
        <w:rPr>
          <w:i/>
        </w:rPr>
        <w:t xml:space="preserve">в случае несвоевременного внесения платы за кредит - пени в размере 0,05 % (Ноль целых пять сотых) процента от суммы долга за каждый день просрочки; </w:t>
      </w:r>
    </w:p>
    <w:p w14:paraId="1287CFA4">
      <w:pPr>
        <w:pStyle w:val="60"/>
        <w:jc w:val="both"/>
        <w:rPr>
          <w:i/>
        </w:rPr>
      </w:pPr>
      <w:r>
        <w:rPr>
          <w:i/>
        </w:rPr>
        <w:t>•</w:t>
      </w:r>
      <w:r>
        <w:rPr>
          <w:i/>
        </w:rPr>
        <w:tab/>
      </w:r>
      <w:r>
        <w:rPr>
          <w:i/>
        </w:rPr>
        <w:t>в случае неисполнения или ненадлежащего исполнения Обществом обязанностей по поддержанию ежемесячных кредитовых оборотов по счетам, открытым в Банке, в соответствии с Графиком (Приложение №1 к настоящему Протоколу) - увеличенная Банком в одностороннем порядке на 2 (Два) % годовых процентная ставка;</w:t>
      </w:r>
    </w:p>
    <w:p w14:paraId="65EA9216">
      <w:pPr>
        <w:pStyle w:val="60"/>
        <w:jc w:val="both"/>
        <w:rPr>
          <w:i/>
        </w:rPr>
      </w:pPr>
      <w:r>
        <w:rPr>
          <w:i/>
        </w:rPr>
        <w:t>•</w:t>
      </w:r>
      <w:r>
        <w:rPr>
          <w:i/>
        </w:rPr>
        <w:tab/>
      </w:r>
      <w:r>
        <w:rPr>
          <w:i/>
        </w:rPr>
        <w:t>с уплатой ежемесячной комиссии за введение ссудного счета в размере 0,15% (Ноль целых пятнадцать сотых) процента годовых от суммы задолженности по кредиту;</w:t>
      </w:r>
    </w:p>
    <w:p w14:paraId="11E41EE6">
      <w:pPr>
        <w:pStyle w:val="60"/>
        <w:jc w:val="both"/>
        <w:rPr>
          <w:i/>
        </w:rPr>
      </w:pPr>
      <w:r>
        <w:rPr>
          <w:i/>
        </w:rPr>
        <w:t>•</w:t>
      </w:r>
      <w:r>
        <w:rPr>
          <w:i/>
        </w:rPr>
        <w:tab/>
      </w:r>
      <w:r>
        <w:rPr>
          <w:i/>
        </w:rPr>
        <w:t>с правом Банка в одностороннем порядке увеличить процентную ставку за пользование кредитом в случаях:   1) изменения ставки рефинансирования Банком России; 2) изменения ключевой ставки Банка России; 3) наступления иных обстоятельств, повлекших изменение ситуации на внутреннем и (или) внешнем финансовых рынках при условии, что Банк каждый раз извещает Общество о своем намерении увеличить размер процентной ставки в связи с наступлением любого из вышеуказанных обстоятельств в письменном виде не позднее, чем за 10 календарных дней до дня введения в действие новой увеличенной процентной ставки. Новая увеличенная процентная ставка рассчитывается в следующем порядке:</w:t>
      </w:r>
    </w:p>
    <w:p w14:paraId="20C4E37A">
      <w:pPr>
        <w:pStyle w:val="60"/>
        <w:jc w:val="both"/>
        <w:rPr>
          <w:i/>
        </w:rPr>
      </w:pPr>
      <w:r>
        <w:rPr>
          <w:i/>
        </w:rPr>
        <w:t>а) в случае единовременного увеличения размера ключевой ставки и/или ставки рефинансирования не более чем на 3 процентных пункта включительно Банк вправе увеличить процентную ставку по кредиту не более чем на 3 процентных пункта за каждое единовременное увеличение;</w:t>
      </w:r>
    </w:p>
    <w:p w14:paraId="7E98AF79">
      <w:pPr>
        <w:pStyle w:val="60"/>
        <w:jc w:val="both"/>
        <w:rPr>
          <w:i/>
        </w:rPr>
      </w:pPr>
      <w:r>
        <w:rPr>
          <w:i/>
        </w:rPr>
        <w:t>б) в случае единовременного увеличения размера ключевой ставки и/или ставки рефинансирования более чем на 3 процентных пункта Банк вправе увеличить процентную ставку по кредиту на количество процентных пунктов, соответствующее увеличению поименованных в данном пункте ставок Центрального Банка за каждое единовременное увеличение;</w:t>
      </w:r>
    </w:p>
    <w:p w14:paraId="23C01FD1">
      <w:pPr>
        <w:pStyle w:val="60"/>
        <w:jc w:val="both"/>
        <w:rPr>
          <w:i/>
        </w:rPr>
      </w:pPr>
      <w:r>
        <w:rPr>
          <w:i/>
        </w:rPr>
        <w:t>в) в случае наступления иных обстоятельств, вследствие которых произошло изменение ситуации на внутреннем и (или) внешнем финансовых рынках, Банк вправе увеличить процентную ставку по кредиту на неограниченное количество процентных пунктов при условии предоставления Обществу мотивированного обоснования такого увеличения;</w:t>
      </w:r>
    </w:p>
    <w:p w14:paraId="0D5CDDFB">
      <w:pPr>
        <w:pStyle w:val="60"/>
        <w:jc w:val="both"/>
        <w:rPr>
          <w:i/>
        </w:rPr>
      </w:pPr>
      <w:r>
        <w:rPr>
          <w:i/>
        </w:rPr>
        <w:t>•</w:t>
      </w:r>
      <w:r>
        <w:rPr>
          <w:i/>
        </w:rPr>
        <w:tab/>
      </w:r>
      <w:r>
        <w:rPr>
          <w:i/>
        </w:rPr>
        <w:t>с возможностью увеличения процентной ставки за пользование кредитом по соглашению сторон, без получения дополнительного одобрения со стороны Общего собрания акционеров Общества, но не более чем на 10% (Десять) процентов годовых;</w:t>
      </w:r>
    </w:p>
    <w:p w14:paraId="49812E31">
      <w:pPr>
        <w:pStyle w:val="60"/>
        <w:jc w:val="both"/>
        <w:rPr>
          <w:i/>
        </w:rPr>
      </w:pPr>
      <w:r>
        <w:rPr>
          <w:i/>
        </w:rPr>
        <w:t>•</w:t>
      </w:r>
      <w:r>
        <w:rPr>
          <w:i/>
        </w:rPr>
        <w:tab/>
      </w:r>
      <w:r>
        <w:rPr>
          <w:i/>
        </w:rPr>
        <w:t>сроком кредитования – до 18 (Восемнадцать) месяцев.».</w:t>
      </w:r>
    </w:p>
    <w:p w14:paraId="328F9B71">
      <w:pPr>
        <w:pStyle w:val="56"/>
      </w:pPr>
    </w:p>
    <w:p w14:paraId="180DC591">
      <w:pPr>
        <w:pStyle w:val="71"/>
        <w:rPr>
          <w:b/>
        </w:rPr>
      </w:pPr>
      <w:r>
        <w:rPr>
          <w:b/>
        </w:rPr>
        <w:t>Итоги голосования по вопросу 4 повестки дня:</w:t>
      </w:r>
    </w:p>
    <w:tbl>
      <w:tblPr>
        <w:tblStyle w:val="5"/>
        <w:tblW w:w="9288" w:type="dxa"/>
        <w:tblInd w:w="0" w:type="dxa"/>
        <w:tblLayout w:type="fixed"/>
        <w:tblCellMar>
          <w:top w:w="0" w:type="dxa"/>
          <w:left w:w="108" w:type="dxa"/>
          <w:bottom w:w="0" w:type="dxa"/>
          <w:right w:w="108" w:type="dxa"/>
        </w:tblCellMar>
      </w:tblPr>
      <w:tblGrid>
        <w:gridCol w:w="828"/>
        <w:gridCol w:w="2541"/>
        <w:gridCol w:w="2859"/>
        <w:gridCol w:w="3060"/>
      </w:tblGrid>
      <w:tr w14:paraId="5DFF1E31">
        <w:trPr>
          <w:wBefore w:w="0" w:type="dxa"/>
          <w:wAfter w:w="0" w:type="dxa"/>
          <w:cantSplit/>
          <w:trHeight w:val="170" w:hRule="exact"/>
        </w:trPr>
        <w:tc>
          <w:tcPr>
            <w:tcW w:w="9288" w:type="dxa"/>
            <w:gridSpan w:val="4"/>
            <w:noWrap w:val="0"/>
            <w:vAlign w:val="top"/>
          </w:tcPr>
          <w:p w14:paraId="5178BEAE">
            <w:pPr>
              <w:pStyle w:val="70"/>
            </w:pPr>
          </w:p>
        </w:tc>
      </w:tr>
      <w:tr w14:paraId="184E137A">
        <w:trPr>
          <w:wBefore w:w="0" w:type="dxa"/>
          <w:wAfter w:w="0" w:type="dxa"/>
          <w:cantSplit/>
        </w:trPr>
        <w:tc>
          <w:tcPr>
            <w:tcW w:w="828" w:type="dxa"/>
            <w:noWrap w:val="0"/>
            <w:vAlign w:val="top"/>
          </w:tcPr>
          <w:p w14:paraId="3B0F11B8">
            <w:pPr>
              <w:pStyle w:val="70"/>
              <w:keepNext/>
            </w:pPr>
          </w:p>
        </w:tc>
        <w:tc>
          <w:tcPr>
            <w:tcW w:w="2541" w:type="dxa"/>
            <w:noWrap w:val="0"/>
            <w:vAlign w:val="top"/>
          </w:tcPr>
          <w:p w14:paraId="77ADC299">
            <w:pPr>
              <w:pStyle w:val="54"/>
              <w:keepNext/>
            </w:pPr>
            <w:r>
              <w:t>«ЗА»</w:t>
            </w:r>
          </w:p>
        </w:tc>
        <w:tc>
          <w:tcPr>
            <w:tcW w:w="2859" w:type="dxa"/>
            <w:noWrap w:val="0"/>
            <w:vAlign w:val="top"/>
          </w:tcPr>
          <w:p w14:paraId="209C76A3">
            <w:pPr>
              <w:pStyle w:val="54"/>
              <w:keepNext/>
              <w:jc w:val="right"/>
            </w:pPr>
            <w:r>
              <w:t>80</w:t>
            </w:r>
          </w:p>
        </w:tc>
        <w:tc>
          <w:tcPr>
            <w:tcW w:w="3060" w:type="dxa"/>
            <w:noWrap w:val="0"/>
            <w:vAlign w:val="top"/>
          </w:tcPr>
          <w:p w14:paraId="3408D9BF">
            <w:pPr>
              <w:pStyle w:val="54"/>
              <w:keepNext/>
              <w:jc w:val="right"/>
            </w:pPr>
            <w:r>
              <w:t>100,0000%</w:t>
            </w:r>
          </w:p>
        </w:tc>
      </w:tr>
      <w:tr w14:paraId="0C5A8B05">
        <w:trPr>
          <w:wBefore w:w="0" w:type="dxa"/>
          <w:wAfter w:w="0" w:type="dxa"/>
          <w:cantSplit/>
        </w:trPr>
        <w:tc>
          <w:tcPr>
            <w:tcW w:w="828" w:type="dxa"/>
            <w:noWrap w:val="0"/>
            <w:vAlign w:val="top"/>
          </w:tcPr>
          <w:p w14:paraId="078D9B19">
            <w:pPr>
              <w:pStyle w:val="70"/>
              <w:keepNext/>
            </w:pPr>
          </w:p>
        </w:tc>
        <w:tc>
          <w:tcPr>
            <w:tcW w:w="2541" w:type="dxa"/>
            <w:noWrap w:val="0"/>
            <w:vAlign w:val="top"/>
          </w:tcPr>
          <w:p w14:paraId="4255CAA5">
            <w:pPr>
              <w:pStyle w:val="54"/>
              <w:keepNext/>
            </w:pPr>
            <w:r>
              <w:t>«ПРОТИВ»</w:t>
            </w:r>
          </w:p>
        </w:tc>
        <w:tc>
          <w:tcPr>
            <w:tcW w:w="2859" w:type="dxa"/>
            <w:noWrap w:val="0"/>
            <w:vAlign w:val="top"/>
          </w:tcPr>
          <w:p w14:paraId="319B77E8">
            <w:pPr>
              <w:pStyle w:val="54"/>
              <w:keepNext/>
              <w:jc w:val="right"/>
            </w:pPr>
            <w:r>
              <w:t>0</w:t>
            </w:r>
          </w:p>
        </w:tc>
        <w:tc>
          <w:tcPr>
            <w:tcW w:w="3060" w:type="dxa"/>
            <w:noWrap w:val="0"/>
            <w:vAlign w:val="top"/>
          </w:tcPr>
          <w:p w14:paraId="5B5A1630">
            <w:pPr>
              <w:pStyle w:val="54"/>
              <w:keepNext/>
              <w:jc w:val="right"/>
            </w:pPr>
            <w:r>
              <w:t>0,0000%</w:t>
            </w:r>
          </w:p>
        </w:tc>
      </w:tr>
      <w:tr w14:paraId="48F5CFAD">
        <w:trPr>
          <w:wBefore w:w="0" w:type="dxa"/>
          <w:wAfter w:w="0" w:type="dxa"/>
          <w:cantSplit/>
        </w:trPr>
        <w:tc>
          <w:tcPr>
            <w:tcW w:w="828" w:type="dxa"/>
            <w:noWrap w:val="0"/>
            <w:vAlign w:val="top"/>
          </w:tcPr>
          <w:p w14:paraId="6AFA47FA">
            <w:pPr>
              <w:pStyle w:val="70"/>
              <w:keepNext/>
            </w:pPr>
          </w:p>
        </w:tc>
        <w:tc>
          <w:tcPr>
            <w:tcW w:w="2541" w:type="dxa"/>
            <w:noWrap w:val="0"/>
            <w:vAlign w:val="top"/>
          </w:tcPr>
          <w:p w14:paraId="12B21F27">
            <w:pPr>
              <w:pStyle w:val="54"/>
              <w:keepNext/>
            </w:pPr>
            <w:r>
              <w:t>«ВОЗДЕРЖАЛСЯ»</w:t>
            </w:r>
          </w:p>
        </w:tc>
        <w:tc>
          <w:tcPr>
            <w:tcW w:w="2859" w:type="dxa"/>
            <w:noWrap w:val="0"/>
            <w:vAlign w:val="top"/>
          </w:tcPr>
          <w:p w14:paraId="0BB8F16D">
            <w:pPr>
              <w:pStyle w:val="54"/>
              <w:keepNext/>
              <w:jc w:val="right"/>
            </w:pPr>
            <w:r>
              <w:t>0</w:t>
            </w:r>
          </w:p>
        </w:tc>
        <w:tc>
          <w:tcPr>
            <w:tcW w:w="3060" w:type="dxa"/>
            <w:noWrap w:val="0"/>
            <w:vAlign w:val="top"/>
          </w:tcPr>
          <w:p w14:paraId="27C6E854">
            <w:pPr>
              <w:pStyle w:val="54"/>
              <w:keepNext/>
              <w:jc w:val="right"/>
            </w:pPr>
            <w:r>
              <w:t>0,0000%</w:t>
            </w:r>
          </w:p>
        </w:tc>
      </w:tr>
    </w:tbl>
    <w:p w14:paraId="0A1CD0A6">
      <w:pPr>
        <w:pStyle w:val="69"/>
      </w:pPr>
    </w:p>
    <w:p w14:paraId="1C5EB190">
      <w:pPr>
        <w:pStyle w:val="60"/>
        <w:jc w:val="both"/>
      </w:pPr>
      <w:r>
        <w:t>Число голосов по вопросу 4 повестки дня, которые не подсчитывались, составило:  0 (0,0000%).</w:t>
      </w:r>
    </w:p>
    <w:p w14:paraId="6E09B498">
      <w:pPr>
        <w:pStyle w:val="64"/>
      </w:pPr>
    </w:p>
    <w:p w14:paraId="2D053497">
      <w:pPr>
        <w:pStyle w:val="58"/>
        <w:rPr>
          <w:u w:val="single"/>
        </w:rPr>
      </w:pPr>
      <w:r>
        <w:rPr>
          <w:u w:val="single"/>
        </w:rPr>
        <w:t>Собрание приняло решение:</w:t>
      </w:r>
    </w:p>
    <w:p w14:paraId="3DF86AEE">
      <w:pPr>
        <w:pStyle w:val="60"/>
        <w:jc w:val="both"/>
        <w:rPr>
          <w:i/>
        </w:rPr>
      </w:pPr>
      <w:r>
        <w:rPr>
          <w:i/>
        </w:rPr>
        <w:t>«Предоставить согласие на совершение с ПАО «АКИБАНК» крупной сделки - договор залога (ипотеки) недвижимого имущества, общей балансовой стоимостью 52 734 146 (Пятьдесят два миллиона семьсот тридцать четыре тысячи сто сорок шесть) руб. 49 коп. по общей залоговой стоимости 108 559 233 (Сто восемь миллионов пятьсот пятьдесят девять тысяч двести тридцать три) руб. 79 коп., в т.ч.:</w:t>
      </w:r>
    </w:p>
    <w:p w14:paraId="4FF96BFE">
      <w:pPr>
        <w:pStyle w:val="60"/>
        <w:jc w:val="both"/>
        <w:rPr>
          <w:i/>
        </w:rPr>
      </w:pPr>
      <w:r>
        <w:rPr>
          <w:i/>
        </w:rPr>
        <w:t>- земельный участок, категория земель: земли населенных пунктов, вид разрешенного использования: под здания и сооружения, адрес: установлено относительно ориентира, расположенного в границах участка, почтовый адрес ориентира: Республика Татарстан, г. Казань, Московский район, ул. Тэцевская, площадь: 63110+/-87,92 кв.м., кадастровый номер 16:50:210202:5, балансовой стоимостью 28 387 000 (Двадцать восемь миллионов триста восемьдесят семь тысяч) руб. по залоговой стоимости 63 489 834 (Шестьдесят три миллиона четыреста восемьдесят девять тысяч восемьсот тридцать четыре) руб. 80 коп.;</w:t>
      </w:r>
    </w:p>
    <w:p w14:paraId="5312E253">
      <w:pPr>
        <w:pStyle w:val="60"/>
        <w:jc w:val="both"/>
        <w:rPr>
          <w:i/>
        </w:rPr>
      </w:pPr>
      <w:r>
        <w:rPr>
          <w:i/>
        </w:rPr>
        <w:t>- конструкторский корпус, назначение: нежилое здание, количество этажей, в том числе подземных этажей: 4, в том числе подземных 1, площадь: 5046 кв.м., адрес: Республика Татарстан, г. Казань, ул. Тэцевская, д.14А, кадастровый номер 16:50:210202:75, балансовой стоимостью 2 214 133 (Два миллиона двести четырнадцать тысяч сто тридцать три) руб. 68 коп. по залоговой стоимости 13 013 762 (Тринадцать миллионов тринадцать тысяч семьсот шестьдесят два) руб. 03 коп.;</w:t>
      </w:r>
    </w:p>
    <w:p w14:paraId="7C0FC51A">
      <w:pPr>
        <w:pStyle w:val="60"/>
        <w:jc w:val="both"/>
        <w:rPr>
          <w:i/>
        </w:rPr>
      </w:pPr>
      <w:r>
        <w:rPr>
          <w:i/>
        </w:rPr>
        <w:t>- склад ОГМ, назначение: нежилое здание, количество этажей, в том числе подземных этажей: 2, площадь: 326 кв.м., адрес: Республика Татарстан, г. Казань, ул. Тэцевская, д.14А, кадастровый номер 16:50:210202:77, балансовой стоимостью 0,00 руб. по залоговой стоимости 1 184 093 (Один миллион сто восемьдесят четыре тысячи девяносто три) руб. 56 коп.;</w:t>
      </w:r>
    </w:p>
    <w:p w14:paraId="33043772">
      <w:pPr>
        <w:pStyle w:val="60"/>
        <w:jc w:val="both"/>
        <w:rPr>
          <w:i/>
        </w:rPr>
      </w:pPr>
      <w:r>
        <w:rPr>
          <w:i/>
        </w:rPr>
        <w:t>- вибростэнд, назначение: нежилое здание, количество этажей, в том числе подземных этажей: 1, площадь: 694,3 кв.м., адрес: Республика Татарстан, г. Казань, ул. Тэцевская, д.14А, кадастровый номер 16:50:210202:78, балансовой стоимостью 1 418 153 (Один миллион четыреста восемнадцать тысяч сто пятьдесят три) руб. 21 коп. по залоговой стоимости 1 193 583 (Один миллион сто девяносто три тысячи пятьсот восемьдесят три) руб. 05 коп.;</w:t>
      </w:r>
    </w:p>
    <w:p w14:paraId="2F362D53">
      <w:pPr>
        <w:pStyle w:val="60"/>
        <w:jc w:val="both"/>
        <w:rPr>
          <w:i/>
        </w:rPr>
      </w:pPr>
      <w:r>
        <w:rPr>
          <w:i/>
        </w:rPr>
        <w:t>- лабораторный корпус, назначение: нежилое здание, количество этажей, в том числе подземных этажей: 1, площадь: 362,7 кв.м., адрес: Республика Татарстан, г. Казань, ул. Тэцевская, д.14А, кадастровый номер 16:50:210201:79, балансовой стоимостью 0,00 руб. по залоговой стоимости 1 317 537 (Один миллион триста семнадцать тысяч пятьсот тридцать семь) руб. 63 коп.;</w:t>
      </w:r>
    </w:p>
    <w:p w14:paraId="7896D4C7">
      <w:pPr>
        <w:pStyle w:val="60"/>
        <w:jc w:val="both"/>
        <w:rPr>
          <w:i/>
        </w:rPr>
      </w:pPr>
      <w:r>
        <w:rPr>
          <w:i/>
        </w:rPr>
        <w:t>- производственная часть лабораторного корпуса, назначение: нежилое здание, количество этажей, в том числе подземных этажей: 1, площадь: 5848,6 кв.м., адрес: Республика Татарстан, г. Казань, ул. Тэцевская, д.14А, кадастровый номер 16:50:210202:79, балансовой стоимостью 17 380 640 (Семнадцать миллионов  триста восемьдесят тысяч шестьсот сорок) руб. 74 коп. по залоговой стоимости 14 162 863 (Четырнадцать миллионов сто шестьдесят две тысячи восемьсот шестьдесят три) руб. 73 коп.;</w:t>
      </w:r>
    </w:p>
    <w:p w14:paraId="4CE4B5EB">
      <w:pPr>
        <w:pStyle w:val="60"/>
        <w:jc w:val="both"/>
        <w:rPr>
          <w:i/>
        </w:rPr>
      </w:pPr>
      <w:r>
        <w:rPr>
          <w:i/>
        </w:rPr>
        <w:t>- кирпичный корпус цеха оснастки, назначение: нежилое здание, количество этажей, в том числе подземных этажей: 2, площадь: 1099,3 кв.м., адрес: Республика Татарстан, г. Казань, ул. Тэцевская, д.14А, кадастровый номер 16:50:210202:81, балансовой стоимостью 115 078 (Сто пятнадцать тысяч семьдесят восемь) руб. 58 коп. по залоговой стоимости 3 992 943 (Три миллиона девятьсот девяносто две тысячи девятьсот сорок три) руб. 05 коп.;</w:t>
      </w:r>
    </w:p>
    <w:p w14:paraId="66F3398A">
      <w:pPr>
        <w:pStyle w:val="60"/>
        <w:jc w:val="both"/>
        <w:rPr>
          <w:i/>
        </w:rPr>
      </w:pPr>
      <w:r>
        <w:rPr>
          <w:i/>
        </w:rPr>
        <w:t>- склад, назначение: нежилое здание, количество этажей, в том числе подземных этажей: 1, площадь: 154,2 кв.м., адрес: Республика Татарстан, г. Казань, ул. Тэцевская, д.14А, кадастровый номер 16:50:210202:82, балансовой стоимостью 0,00 руб. по залоговой стоимости 373 346 (Триста семьдесят три тысячи триста сорок шесть) руб. 78 коп.;</w:t>
      </w:r>
    </w:p>
    <w:p w14:paraId="6CAF5B74">
      <w:pPr>
        <w:pStyle w:val="60"/>
        <w:jc w:val="both"/>
        <w:rPr>
          <w:i/>
        </w:rPr>
      </w:pPr>
      <w:r>
        <w:rPr>
          <w:i/>
        </w:rPr>
        <w:t>- служба ТП, назначение: нежилое здание, количество этажей, в том числе подземных этажей: 1, площадь: 149,7 кв.м., адрес: Республика Татарстан, г. Казань, ул. Тэцевская, д.14А, кадастровый номер 16:50:210202:83, балансовой стоимостью 0,00 руб. по залоговой стоимости 362 374 (Триста шестьдесят две тысячи триста семьдесят четыре) руб. 92 коп.;</w:t>
      </w:r>
    </w:p>
    <w:p w14:paraId="188D04FB">
      <w:pPr>
        <w:pStyle w:val="60"/>
        <w:jc w:val="both"/>
        <w:rPr>
          <w:i/>
        </w:rPr>
      </w:pPr>
      <w:r>
        <w:rPr>
          <w:i/>
        </w:rPr>
        <w:t>- автогараж, назначение: нежилое здание, количество этажей, в том числе подземных этажей: 2, площадь: 1072,2 кв.м., адрес: Республика Татарстан, г. Казань, ул. Тэцевская, д.14А, кадастровый номер 16:50:210202:84, балансовой стоимостью 56 492 (Пятьдесят шесть тысяч четыреста девяносто два) руб. 83 коп., по залоговой стоимости 2 596 525 (Два миллиона пятьсот девяносто шесть тысяч пятьсот двадцать пять) руб. 08 коп.;</w:t>
      </w:r>
    </w:p>
    <w:p w14:paraId="59AC3D5C">
      <w:pPr>
        <w:pStyle w:val="60"/>
        <w:jc w:val="both"/>
        <w:rPr>
          <w:i/>
        </w:rPr>
      </w:pPr>
      <w:r>
        <w:rPr>
          <w:i/>
        </w:rPr>
        <w:t>- склад сжатых газов, назначение: нежилое здание, количество этажей, в том числе подземных этажей: 2, площадь: 151,2 кв.м., адрес: Республика Татарстан, г. Казань, ул. Тэцевская, д.14А, кадастровый номер 16:50:210202:85, балансовой стоимостью 0,00 руб. по залоговой стоимости 278 156 (Двести семьдесят восемь тысяч сто пятьдесят шесть) руб. 61 коп.;</w:t>
      </w:r>
    </w:p>
    <w:p w14:paraId="570A1DBB">
      <w:pPr>
        <w:pStyle w:val="60"/>
        <w:jc w:val="both"/>
        <w:rPr>
          <w:i/>
        </w:rPr>
      </w:pPr>
      <w:r>
        <w:rPr>
          <w:i/>
        </w:rPr>
        <w:t>- компрессорная, назначение: нежилое здание, количество этажей, в том числе подземных этажей: 1, площадь: 83,1 кв.м., адрес: Республика Татарстан, г. Казань, ул. Тэцевская, д.14А, кадастровый номер 16:50:210202:86, балансовой стоимостью 0,00 руб. по залоговой стоимости 201 352 (Двести одна тысяча триста пятьдесят два) руб. 20 коп.;</w:t>
      </w:r>
    </w:p>
    <w:p w14:paraId="19CA5F23">
      <w:pPr>
        <w:pStyle w:val="60"/>
        <w:jc w:val="both"/>
        <w:rPr>
          <w:i/>
        </w:rPr>
      </w:pPr>
      <w:r>
        <w:rPr>
          <w:i/>
        </w:rPr>
        <w:t>- насосная канализационная, назначение: нежилое здание, количество этажей, в том числе подземных этажей: 1, площадь: 27,8 кв.м., адрес: Республика Татарстан, г. Казань, ул. Тэцевская, д.14А, кадастровый номер 16:50:210202:87, балансовой стоимостью 0,00 руб. по залоговой стоимости 51 301 (Пятьдесят одна тысяча триста один) руб. 70 коп.;</w:t>
      </w:r>
    </w:p>
    <w:p w14:paraId="04A92BDA">
      <w:pPr>
        <w:pStyle w:val="60"/>
        <w:jc w:val="both"/>
        <w:rPr>
          <w:i/>
        </w:rPr>
      </w:pPr>
      <w:r>
        <w:rPr>
          <w:i/>
        </w:rPr>
        <w:t>- склад-гараж, назначение: нежилое здание, количество этажей, в том числе подземных этажей: 2, площадь: 345 кв.м., адрес: Республика Татарстан, г. Казань, ул. Тэцевская, д.14А, кадастровый номер 16:50:210202:88, балансовой стоимостью 56 492 (Пятьдесят шесть тысяч четыреста девяносто два) руб. 83 коп. по залоговой стоимости 835 360 (Восемьсот тридцать пять тысяч триста шестьдесят) руб. 00 коп.;</w:t>
      </w:r>
    </w:p>
    <w:p w14:paraId="71D17B06">
      <w:pPr>
        <w:pStyle w:val="60"/>
        <w:jc w:val="both"/>
        <w:rPr>
          <w:i/>
        </w:rPr>
      </w:pPr>
      <w:r>
        <w:rPr>
          <w:i/>
        </w:rPr>
        <w:t>- склад режимных материалов, назначение: нежилое здание, количество этажей, в том числе подземных этажей: 2, площадь: 824,6 кв.м., адрес: Республика Татарстан, г. Казань, ул. Тэцевская, д.14А, кадастровый номер 16:50:210202:89, балансовой стоимостью 37 661 (Тридцать семь тысяч шестьсот шестьдесят один) руб. 89 коп. по залоговой стоимости 1 996 916 (Один миллион девятьсот девяносто шесть тысяч  девятьсот шестнадцать) руб. 27 коп.;</w:t>
      </w:r>
    </w:p>
    <w:p w14:paraId="69470ED8">
      <w:pPr>
        <w:pStyle w:val="60"/>
        <w:jc w:val="both"/>
        <w:rPr>
          <w:i/>
        </w:rPr>
      </w:pPr>
      <w:r>
        <w:rPr>
          <w:i/>
        </w:rPr>
        <w:t>- цех оснастки, назначение: нежилое здание, количество этажей, в том числе подземных этажей: 1, площадь: 1190,2 кв.м., адрес: Республика Татарстан, г. Казань, ул. Тэцевская, д.14А, кадастровый номер 16:50:210202:90, балансовой стоимостью 1 545 274 (Один миллион пятьсот сорок пять тысяч двести семьдесят четыре) руб. 23 коп. по залоговой стоимости 2 882 095 (Два миллиона восемьсот восемьдесят две тысячи девяносто пять) руб. 26 коп.;</w:t>
      </w:r>
    </w:p>
    <w:p w14:paraId="59D9BF94">
      <w:pPr>
        <w:pStyle w:val="60"/>
        <w:jc w:val="both"/>
        <w:rPr>
          <w:i/>
        </w:rPr>
      </w:pPr>
      <w:r>
        <w:rPr>
          <w:i/>
        </w:rPr>
        <w:t>- объект незавершенного строительства, проектируемое назначение: помещение общего пользования, площадь застройки 172,7 кв.м., Республика Татарстан, г. Казань, ул. Тэцевская, кадастровый номер 16:50:210202:183, балансовой стоимостью 1 523 218 (Один миллион пятьсот двадцать три тысячи двести восемнадцать) руб. 50 коп. по залоговой стоимости 627 187 (Шестьсот двадцать семь тысяч сто восемьдесят семь) руб. 12 коп. ,</w:t>
      </w:r>
    </w:p>
    <w:p w14:paraId="5E668708">
      <w:pPr>
        <w:pStyle w:val="60"/>
        <w:jc w:val="both"/>
        <w:rPr>
          <w:i/>
        </w:rPr>
      </w:pPr>
      <w:r>
        <w:rPr>
          <w:i/>
        </w:rPr>
        <w:t>в целях обеспечения в полном объеме своих обязательств по договору об открытии кредитной линии с лимитом задолженности на следующих условиях:</w:t>
      </w:r>
    </w:p>
    <w:p w14:paraId="08870E9D">
      <w:pPr>
        <w:pStyle w:val="60"/>
        <w:jc w:val="both"/>
        <w:rPr>
          <w:i/>
        </w:rPr>
      </w:pPr>
      <w:r>
        <w:rPr>
          <w:i/>
        </w:rPr>
        <w:t>•</w:t>
      </w:r>
      <w:r>
        <w:rPr>
          <w:i/>
        </w:rPr>
        <w:tab/>
      </w:r>
      <w:r>
        <w:rPr>
          <w:i/>
        </w:rPr>
        <w:t xml:space="preserve">сумма кредита – 25 000 000 (Двадцать пять миллионов) рублей; </w:t>
      </w:r>
    </w:p>
    <w:p w14:paraId="7559EFC8">
      <w:pPr>
        <w:pStyle w:val="60"/>
        <w:jc w:val="both"/>
        <w:rPr>
          <w:i/>
        </w:rPr>
      </w:pPr>
      <w:r>
        <w:rPr>
          <w:i/>
        </w:rPr>
        <w:t>•</w:t>
      </w:r>
      <w:r>
        <w:rPr>
          <w:i/>
        </w:rPr>
        <w:tab/>
      </w:r>
      <w:r>
        <w:rPr>
          <w:i/>
        </w:rPr>
        <w:t xml:space="preserve"> процентная ставка за пользование кредитом – по траншам до 180 дней не более 11,5% (Одиннадцать целых пять десятых) процентов годовых, по траншам до 270 дней не более 11,75% (Одиннадцать целых семьдесят пять сотых) процентов годовых; </w:t>
      </w:r>
    </w:p>
    <w:p w14:paraId="44C63277">
      <w:pPr>
        <w:pStyle w:val="60"/>
        <w:jc w:val="both"/>
        <w:rPr>
          <w:i/>
        </w:rPr>
      </w:pPr>
      <w:r>
        <w:rPr>
          <w:i/>
        </w:rPr>
        <w:t>•</w:t>
      </w:r>
      <w:r>
        <w:rPr>
          <w:i/>
        </w:rPr>
        <w:tab/>
      </w:r>
      <w:r>
        <w:rPr>
          <w:i/>
        </w:rPr>
        <w:t>в случае несвоевременного возврата кредита - увеличенная процентная ставка в размере двойной ключевой ставки Банка России, действующей на дату возникновения несвоевременного возврата кредита, но не менее двойной процентной ставки за пользование кредитом в годовых;</w:t>
      </w:r>
    </w:p>
    <w:p w14:paraId="449E2E51">
      <w:pPr>
        <w:pStyle w:val="60"/>
        <w:jc w:val="both"/>
        <w:rPr>
          <w:i/>
        </w:rPr>
      </w:pPr>
      <w:r>
        <w:rPr>
          <w:i/>
        </w:rPr>
        <w:t>•</w:t>
      </w:r>
      <w:r>
        <w:rPr>
          <w:i/>
        </w:rPr>
        <w:tab/>
      </w:r>
      <w:r>
        <w:rPr>
          <w:i/>
        </w:rPr>
        <w:t xml:space="preserve">в случае несвоевременного внесения платы за кредит - пени в размере 0,05 % (Ноль целых пять сотых) процента от суммы долга за каждый день просрочки; </w:t>
      </w:r>
    </w:p>
    <w:p w14:paraId="0F8D5D39">
      <w:pPr>
        <w:pStyle w:val="60"/>
        <w:jc w:val="both"/>
        <w:rPr>
          <w:i/>
        </w:rPr>
      </w:pPr>
      <w:r>
        <w:rPr>
          <w:i/>
        </w:rPr>
        <w:t>•</w:t>
      </w:r>
      <w:r>
        <w:rPr>
          <w:i/>
        </w:rPr>
        <w:tab/>
      </w:r>
      <w:r>
        <w:rPr>
          <w:i/>
        </w:rPr>
        <w:t>в случае неисполнения или ненадлежащего исполнения Обществом обязанностей по поддержанию ежемесячных кредитовых оборотов по счетам, открытым в Банке, в соответствии с Графиком (Приложение №1 к настоящему Протоколу) - увеличенная Банком в одностороннем порядке на 2 (Два) % годовых процентная ставка;</w:t>
      </w:r>
    </w:p>
    <w:p w14:paraId="7B8F5E29">
      <w:pPr>
        <w:pStyle w:val="60"/>
        <w:jc w:val="both"/>
        <w:rPr>
          <w:i/>
        </w:rPr>
      </w:pPr>
      <w:r>
        <w:rPr>
          <w:i/>
        </w:rPr>
        <w:t>•</w:t>
      </w:r>
      <w:r>
        <w:rPr>
          <w:i/>
        </w:rPr>
        <w:tab/>
      </w:r>
      <w:r>
        <w:rPr>
          <w:i/>
        </w:rPr>
        <w:t>с уплатой ежемесячной комиссии за введение ссудного счета в размере 0,15% (Ноль целых пятнадцать сотых) процента годовых от суммы задолженности по кредиту;</w:t>
      </w:r>
    </w:p>
    <w:p w14:paraId="22499C83">
      <w:pPr>
        <w:pStyle w:val="60"/>
        <w:jc w:val="both"/>
        <w:rPr>
          <w:i/>
        </w:rPr>
      </w:pPr>
      <w:r>
        <w:rPr>
          <w:i/>
        </w:rPr>
        <w:t>•</w:t>
      </w:r>
      <w:r>
        <w:rPr>
          <w:i/>
        </w:rPr>
        <w:tab/>
      </w:r>
      <w:r>
        <w:rPr>
          <w:i/>
        </w:rPr>
        <w:t>с правом Банка в одностороннем порядке увеличить процентную ставку за пользование кредитом в случаях:   1) изменения ставки рефинансирования Банком России; 2) изменения ключевой ставки Банка России; 3) наступления иных обстоятельств, повлекших изменение ситуации на внутреннем и (или) внешнем финансовых рынках при условии, что Банк каждый раз извещает Общество о своем намерении увеличить размер процентной ставки в связи с наступлением любого из вышеуказанных обстоятельств в письменном виде не позднее, чем за 10 календарных дней до дня введения в действие новой увеличенной процентной ставки. Новая увеличенная процентная ставка рассчитывается в следующем порядке:</w:t>
      </w:r>
    </w:p>
    <w:p w14:paraId="3141D2B7">
      <w:pPr>
        <w:pStyle w:val="60"/>
        <w:jc w:val="both"/>
        <w:rPr>
          <w:i/>
        </w:rPr>
      </w:pPr>
      <w:r>
        <w:rPr>
          <w:i/>
        </w:rPr>
        <w:t>а) в случае единовременного увеличения размера ключевой ставки и/или ставки рефинансирования не более чем на 3 процентных пункта включительно Банк вправе увеличить процентную ставку по кредиту не более чем на 3 процентных пункта за каждое единовременное увеличение;</w:t>
      </w:r>
    </w:p>
    <w:p w14:paraId="3FCCDDE6">
      <w:pPr>
        <w:pStyle w:val="60"/>
        <w:jc w:val="both"/>
        <w:rPr>
          <w:i/>
        </w:rPr>
      </w:pPr>
      <w:r>
        <w:rPr>
          <w:i/>
        </w:rPr>
        <w:t>б) в случае единовременного увеличения размера ключевой ставки и/или ставки рефинансирования более чем на 3 процентных пункта Банк вправе увеличить процентную ставку по кредиту на количество процентных пунктов, соответствующее увеличению поименованных в данном пункте ставок Центрального Банка за каждое единовременное увеличение;</w:t>
      </w:r>
    </w:p>
    <w:p w14:paraId="0498CB84">
      <w:pPr>
        <w:pStyle w:val="60"/>
        <w:jc w:val="both"/>
        <w:rPr>
          <w:i/>
        </w:rPr>
      </w:pPr>
      <w:r>
        <w:rPr>
          <w:i/>
        </w:rPr>
        <w:t>в) в случае наступления иных обстоятельств, вследствие которых произошло изменение ситуации на внутреннем и (или) внешнем финансовых рынках, Банк вправе увеличить процентную ставку по кредиту на неограниченное количество процентных пунктов при условии предоставления Обществу мотивированного обоснования такого увеличения;</w:t>
      </w:r>
    </w:p>
    <w:p w14:paraId="1C93D0FD">
      <w:pPr>
        <w:pStyle w:val="60"/>
        <w:jc w:val="both"/>
        <w:rPr>
          <w:i/>
        </w:rPr>
      </w:pPr>
      <w:r>
        <w:rPr>
          <w:i/>
        </w:rPr>
        <w:t>•</w:t>
      </w:r>
      <w:r>
        <w:rPr>
          <w:i/>
        </w:rPr>
        <w:tab/>
      </w:r>
      <w:r>
        <w:rPr>
          <w:i/>
        </w:rPr>
        <w:t>с возможностью увеличения процентной ставки за пользование кредитом по соглашению сторон, без получения дополнительного одобрения со стороны Общего собрания акционеров Общества, но не более чем на 10% (Десять) процентов годовых;</w:t>
      </w:r>
    </w:p>
    <w:p w14:paraId="4A87BBA0">
      <w:pPr>
        <w:pStyle w:val="60"/>
        <w:jc w:val="both"/>
        <w:rPr>
          <w:i/>
        </w:rPr>
      </w:pPr>
      <w:r>
        <w:rPr>
          <w:i/>
        </w:rPr>
        <w:t>•</w:t>
      </w:r>
      <w:r>
        <w:rPr>
          <w:i/>
        </w:rPr>
        <w:tab/>
      </w:r>
      <w:r>
        <w:rPr>
          <w:i/>
        </w:rPr>
        <w:t>сроком кредитования – до 18 (Восемнадцать) месяцев.</w:t>
      </w:r>
    </w:p>
    <w:p w14:paraId="2EF755B4">
      <w:pPr>
        <w:pStyle w:val="60"/>
        <w:jc w:val="both"/>
        <w:rPr>
          <w:i/>
        </w:rPr>
      </w:pPr>
      <w:r>
        <w:rPr>
          <w:i/>
        </w:rPr>
        <w:t>Договор залога (ипотеки) заключается с условием, что Общество путем подписания данного договора предоставит свое безотзывное и безусловное согласие без оформления дополнительного соглашения к договору залога (ипотеки) отвечать за исполнение своих обязательств  по вышеуказанному договору об открытии кредитной линии с лимитом задолженности  на измененных условиях в следующих случаях:</w:t>
      </w:r>
    </w:p>
    <w:p w14:paraId="2BB6DF18">
      <w:pPr>
        <w:pStyle w:val="60"/>
        <w:jc w:val="both"/>
        <w:rPr>
          <w:i/>
        </w:rPr>
      </w:pPr>
      <w:r>
        <w:rPr>
          <w:i/>
        </w:rPr>
        <w:t>а) в случае увеличения процентной ставки по договору об открытии кредитной линии с лимитом задолженности, но не более чем на 10 (Десять)  процентов;</w:t>
      </w:r>
    </w:p>
    <w:p w14:paraId="76AF38C7">
      <w:pPr>
        <w:pStyle w:val="60"/>
        <w:jc w:val="both"/>
        <w:rPr>
          <w:i/>
        </w:rPr>
      </w:pPr>
      <w:r>
        <w:rPr>
          <w:i/>
        </w:rPr>
        <w:t>б) в случае изменения срока возврата кредита по договору об открытии кредитной линии с лимитом задолженности, но не более чем 18 (Восемнадцать) месяцев в случае увеличения такого срока и не более чем на 9 (Девять) месяцев в случае его сокращения».</w:t>
      </w:r>
    </w:p>
    <w:p w14:paraId="090A4842">
      <w:pPr>
        <w:pStyle w:val="60"/>
        <w:jc w:val="both"/>
        <w:rPr>
          <w:i/>
        </w:rPr>
      </w:pPr>
    </w:p>
    <w:p w14:paraId="280796CD">
      <w:pPr>
        <w:autoSpaceDE w:val="0"/>
        <w:autoSpaceDN w:val="0"/>
        <w:adjustRightInd w:val="0"/>
        <w:spacing w:line="228" w:lineRule="auto"/>
        <w:ind w:firstLine="540"/>
      </w:pPr>
      <w:r>
        <w:rPr>
          <w:b/>
        </w:rPr>
        <w:t>Председатель собрания</w:t>
      </w:r>
      <w:r>
        <w:t xml:space="preserve"> __________________________ /________________________</w:t>
      </w:r>
    </w:p>
    <w:p w14:paraId="3B228E3E">
      <w:pPr>
        <w:autoSpaceDE w:val="0"/>
        <w:autoSpaceDN w:val="0"/>
        <w:adjustRightInd w:val="0"/>
        <w:spacing w:line="228" w:lineRule="auto"/>
        <w:ind w:firstLine="540"/>
        <w:rPr>
          <w:b/>
        </w:rPr>
      </w:pPr>
    </w:p>
    <w:p w14:paraId="6A3EE278">
      <w:pPr>
        <w:autoSpaceDE w:val="0"/>
        <w:autoSpaceDN w:val="0"/>
        <w:adjustRightInd w:val="0"/>
        <w:spacing w:line="228" w:lineRule="auto"/>
        <w:ind w:firstLine="540"/>
        <w:rPr>
          <w:b/>
        </w:rPr>
      </w:pPr>
    </w:p>
    <w:p w14:paraId="4A2DAC22">
      <w:pPr>
        <w:autoSpaceDE w:val="0"/>
        <w:autoSpaceDN w:val="0"/>
        <w:adjustRightInd w:val="0"/>
        <w:spacing w:line="228" w:lineRule="auto"/>
        <w:ind w:firstLine="540"/>
      </w:pPr>
      <w:r>
        <w:rPr>
          <w:b/>
        </w:rPr>
        <w:t>Секретарь собрания</w:t>
      </w:r>
      <w:r>
        <w:t xml:space="preserve"> _____________________________ /________________________</w:t>
      </w:r>
    </w:p>
    <w:p w14:paraId="49AB4284">
      <w:pPr>
        <w:ind w:firstLine="567"/>
        <w:jc w:val="both"/>
        <w:rPr>
          <w:lang w:eastAsia="en-US"/>
        </w:rPr>
      </w:pPr>
    </w:p>
    <w:sectPr>
      <w:footerReference r:id="rId3" w:type="default"/>
      <w:pgSz w:w="11906" w:h="16838"/>
      <w:pgMar w:top="1134" w:right="850" w:bottom="1134" w:left="1701" w:header="708" w:footer="708" w:gutter="0"/>
      <w:cols w:space="708"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C3063">
    <w:pPr>
      <w:pStyle w:val="7"/>
      <w:jc w:val="right"/>
    </w:pPr>
    <w:r>
      <w:fldChar w:fldCharType="begin"/>
    </w:r>
    <w:r>
      <w:instrText xml:space="preserve"> PAGE   \* MERGEFORMAT </w:instrText>
    </w:r>
    <w:r>
      <w:fldChar w:fldCharType="separate"/>
    </w:r>
    <w:r>
      <w:rPr>
        <w:lang/>
      </w:rPr>
      <w:t>10</w:t>
    </w:r>
    <w:r>
      <w:fldChar w:fldCharType="end"/>
    </w:r>
  </w:p>
  <w:p w14:paraId="54B790D4">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27D7A"/>
    <w:rsid w:val="0003248E"/>
    <w:rsid w:val="00084F7D"/>
    <w:rsid w:val="000A7773"/>
    <w:rsid w:val="001D3C2F"/>
    <w:rsid w:val="00204CA7"/>
    <w:rsid w:val="002E7237"/>
    <w:rsid w:val="003F5924"/>
    <w:rsid w:val="004708A5"/>
    <w:rsid w:val="004A1B7E"/>
    <w:rsid w:val="00586187"/>
    <w:rsid w:val="00692EC7"/>
    <w:rsid w:val="006C39D0"/>
    <w:rsid w:val="006F17B9"/>
    <w:rsid w:val="006F320D"/>
    <w:rsid w:val="00716BD1"/>
    <w:rsid w:val="0078054D"/>
    <w:rsid w:val="00786B54"/>
    <w:rsid w:val="00787D75"/>
    <w:rsid w:val="007A243C"/>
    <w:rsid w:val="007B2A30"/>
    <w:rsid w:val="007F6138"/>
    <w:rsid w:val="008341E0"/>
    <w:rsid w:val="008A1D7E"/>
    <w:rsid w:val="008B775F"/>
    <w:rsid w:val="00914D1A"/>
    <w:rsid w:val="00931103"/>
    <w:rsid w:val="00997B66"/>
    <w:rsid w:val="009E25B3"/>
    <w:rsid w:val="00A41EB9"/>
    <w:rsid w:val="00A558C9"/>
    <w:rsid w:val="00A91FD8"/>
    <w:rsid w:val="00C82499"/>
    <w:rsid w:val="00C82620"/>
    <w:rsid w:val="00D4062A"/>
    <w:rsid w:val="00D80BF0"/>
    <w:rsid w:val="00D816F7"/>
    <w:rsid w:val="00E833CF"/>
    <w:rsid w:val="00EA0BD2"/>
    <w:rsid w:val="00ED4C67"/>
    <w:rsid w:val="00F001E9"/>
    <w:rsid w:val="00F5483D"/>
    <w:rsid w:val="00F82A17"/>
    <w:rsid w:val="FF770A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ru-RU" w:eastAsia="ru-RU" w:bidi="ar-SA"/>
    </w:rPr>
  </w:style>
  <w:style w:type="paragraph" w:styleId="2">
    <w:name w:val="heading 2"/>
    <w:basedOn w:val="3"/>
    <w:next w:val="3"/>
    <w:link w:val="11"/>
    <w:qFormat/>
    <w:uiPriority w:val="9"/>
    <w:pPr>
      <w:keepNext/>
      <w:spacing w:after="0" w:line="240" w:lineRule="auto"/>
      <w:outlineLvl w:val="1"/>
    </w:pPr>
    <w:rPr>
      <w:rFonts w:eastAsia="Times New Roman"/>
      <w:b/>
      <w:bCs/>
      <w:sz w:val="40"/>
      <w:szCs w:val="40"/>
    </w:rPr>
  </w:style>
  <w:style w:type="character" w:default="1" w:styleId="4">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trPr>
      <w:wBefore w:w="0" w:type="dxa"/>
    </w:trPr>
  </w:style>
  <w:style w:type="paragraph" w:customStyle="1" w:styleId="3">
    <w:name w:val="Normal_0"/>
    <w:qFormat/>
    <w:uiPriority w:val="0"/>
    <w:rPr>
      <w:rFonts w:eastAsia="Calibri"/>
      <w:sz w:val="28"/>
      <w:lang w:val="ru-RU" w:eastAsia="ru-RU" w:bidi="ar-SA"/>
    </w:rPr>
  </w:style>
  <w:style w:type="paragraph" w:styleId="6">
    <w:name w:val="Body Text"/>
    <w:basedOn w:val="1"/>
    <w:link w:val="120"/>
    <w:uiPriority w:val="99"/>
    <w:pPr>
      <w:autoSpaceDE w:val="0"/>
      <w:autoSpaceDN w:val="0"/>
      <w:jc w:val="both"/>
    </w:pPr>
    <w:rPr>
      <w:sz w:val="20"/>
      <w:szCs w:val="20"/>
    </w:rPr>
  </w:style>
  <w:style w:type="paragraph" w:styleId="7">
    <w:name w:val="footer"/>
    <w:basedOn w:val="1"/>
    <w:link w:val="119"/>
    <w:uiPriority w:val="99"/>
    <w:pPr>
      <w:tabs>
        <w:tab w:val="center" w:pos="4677"/>
        <w:tab w:val="right" w:pos="9355"/>
      </w:tabs>
    </w:pPr>
  </w:style>
  <w:style w:type="paragraph" w:styleId="8">
    <w:name w:val="header"/>
    <w:basedOn w:val="3"/>
    <w:link w:val="10"/>
    <w:uiPriority w:val="99"/>
    <w:pPr>
      <w:tabs>
        <w:tab w:val="center" w:pos="4677"/>
        <w:tab w:val="right" w:pos="9355"/>
      </w:tabs>
      <w:spacing w:after="0" w:line="240" w:lineRule="auto"/>
    </w:pPr>
    <w:rPr>
      <w:rFonts w:eastAsia="Times New Roman"/>
      <w:sz w:val="24"/>
      <w:szCs w:val="24"/>
    </w:rPr>
  </w:style>
  <w:style w:type="table" w:styleId="9">
    <w:name w:val="Table Grid"/>
    <w:basedOn w:val="5"/>
    <w:uiPriority w:val="59"/>
    <w:pPr>
      <w:spacing w:after="0" w:line="240" w:lineRule="auto"/>
    </w:pPr>
    <w:rPr>
      <w:rFonts w:ascii="Times New Roman" w:hAnsi="Times New Roman" w:eastAsia="Times New Roman" w:cs="Times New Roman"/>
      <w:sz w:val="20"/>
      <w:szCs w:val="20"/>
      <w:lang w:eastAsia="ru-RU"/>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Верхний колонтитул Знак"/>
    <w:link w:val="8"/>
    <w:uiPriority w:val="99"/>
    <w:rPr>
      <w:rFonts w:ascii="Times New Roman" w:hAnsi="Times New Roman" w:eastAsia="Times New Roman" w:cs="Times New Roman"/>
      <w:sz w:val="24"/>
      <w:szCs w:val="24"/>
      <w:lang w:eastAsia="ru-RU"/>
    </w:rPr>
  </w:style>
  <w:style w:type="character" w:customStyle="1" w:styleId="11">
    <w:name w:val="Заголовок 2 Знак"/>
    <w:link w:val="2"/>
    <w:uiPriority w:val="9"/>
    <w:rPr>
      <w:rFonts w:ascii="Times New Roman" w:hAnsi="Times New Roman" w:eastAsia="Times New Roman" w:cs="Times New Roman"/>
      <w:b/>
      <w:bCs/>
      <w:sz w:val="40"/>
      <w:szCs w:val="40"/>
      <w:lang w:eastAsia="ru-RU"/>
    </w:rPr>
  </w:style>
  <w:style w:type="paragraph" w:customStyle="1" w:styleId="12">
    <w:name w:val="Header_0"/>
    <w:basedOn w:val="13"/>
    <w:link w:val="14"/>
    <w:uiPriority w:val="99"/>
    <w:pPr>
      <w:tabs>
        <w:tab w:val="center" w:pos="4677"/>
        <w:tab w:val="right" w:pos="9355"/>
      </w:tabs>
    </w:pPr>
  </w:style>
  <w:style w:type="paragraph" w:customStyle="1" w:styleId="13">
    <w:name w:val="Normal_1"/>
    <w:qFormat/>
    <w:uiPriority w:val="0"/>
    <w:rPr>
      <w:sz w:val="24"/>
      <w:szCs w:val="24"/>
      <w:lang w:val="ru-RU" w:eastAsia="ru-RU" w:bidi="ar-SA"/>
    </w:rPr>
  </w:style>
  <w:style w:type="character" w:customStyle="1" w:styleId="14">
    <w:name w:val="Верхний колонтитул Знак_0"/>
    <w:link w:val="12"/>
    <w:semiHidden/>
    <w:locked/>
    <w:uiPriority w:val="99"/>
    <w:rPr>
      <w:rFonts w:cs="Times New Roman"/>
      <w:sz w:val="24"/>
      <w:szCs w:val="24"/>
    </w:rPr>
  </w:style>
  <w:style w:type="paragraph" w:customStyle="1" w:styleId="15">
    <w:name w:val="Header_1"/>
    <w:basedOn w:val="16"/>
    <w:link w:val="17"/>
    <w:uiPriority w:val="99"/>
    <w:pPr>
      <w:tabs>
        <w:tab w:val="center" w:pos="4677"/>
        <w:tab w:val="right" w:pos="9355"/>
      </w:tabs>
    </w:pPr>
  </w:style>
  <w:style w:type="paragraph" w:customStyle="1" w:styleId="16">
    <w:name w:val="Normal_2"/>
    <w:qFormat/>
    <w:uiPriority w:val="0"/>
    <w:rPr>
      <w:sz w:val="24"/>
      <w:szCs w:val="24"/>
      <w:lang w:val="ru-RU" w:eastAsia="ru-RU" w:bidi="ar-SA"/>
    </w:rPr>
  </w:style>
  <w:style w:type="character" w:customStyle="1" w:styleId="17">
    <w:name w:val="Верхний колонтитул Знак_1"/>
    <w:link w:val="15"/>
    <w:semiHidden/>
    <w:locked/>
    <w:uiPriority w:val="99"/>
    <w:rPr>
      <w:rFonts w:cs="Times New Roman"/>
      <w:sz w:val="24"/>
      <w:szCs w:val="24"/>
    </w:rPr>
  </w:style>
  <w:style w:type="paragraph" w:customStyle="1" w:styleId="18">
    <w:name w:val="Header_2"/>
    <w:basedOn w:val="19"/>
    <w:link w:val="20"/>
    <w:uiPriority w:val="99"/>
    <w:pPr>
      <w:tabs>
        <w:tab w:val="center" w:pos="4677"/>
        <w:tab w:val="right" w:pos="9355"/>
      </w:tabs>
    </w:pPr>
  </w:style>
  <w:style w:type="paragraph" w:customStyle="1" w:styleId="19">
    <w:name w:val="Normal_3"/>
    <w:qFormat/>
    <w:uiPriority w:val="0"/>
    <w:rPr>
      <w:sz w:val="24"/>
      <w:szCs w:val="24"/>
      <w:lang w:val="ru-RU" w:eastAsia="ru-RU" w:bidi="ar-SA"/>
    </w:rPr>
  </w:style>
  <w:style w:type="character" w:customStyle="1" w:styleId="20">
    <w:name w:val="Верхний колонтитул Знак_2"/>
    <w:link w:val="18"/>
    <w:semiHidden/>
    <w:locked/>
    <w:uiPriority w:val="99"/>
    <w:rPr>
      <w:rFonts w:cs="Times New Roman"/>
      <w:sz w:val="24"/>
      <w:szCs w:val="24"/>
    </w:rPr>
  </w:style>
  <w:style w:type="paragraph" w:customStyle="1" w:styleId="21">
    <w:name w:val="Header_3"/>
    <w:basedOn w:val="22"/>
    <w:link w:val="23"/>
    <w:uiPriority w:val="99"/>
    <w:pPr>
      <w:tabs>
        <w:tab w:val="center" w:pos="4677"/>
        <w:tab w:val="right" w:pos="9355"/>
      </w:tabs>
    </w:pPr>
  </w:style>
  <w:style w:type="paragraph" w:customStyle="1" w:styleId="22">
    <w:name w:val="Normal_4"/>
    <w:qFormat/>
    <w:uiPriority w:val="0"/>
    <w:rPr>
      <w:sz w:val="24"/>
      <w:szCs w:val="24"/>
      <w:lang w:val="ru-RU" w:eastAsia="ru-RU" w:bidi="ar-SA"/>
    </w:rPr>
  </w:style>
  <w:style w:type="character" w:customStyle="1" w:styleId="23">
    <w:name w:val="Верхний колонтитул Знак_3"/>
    <w:link w:val="21"/>
    <w:semiHidden/>
    <w:locked/>
    <w:uiPriority w:val="99"/>
    <w:rPr>
      <w:rFonts w:cs="Times New Roman"/>
      <w:sz w:val="24"/>
      <w:szCs w:val="24"/>
    </w:rPr>
  </w:style>
  <w:style w:type="paragraph" w:customStyle="1" w:styleId="24">
    <w:name w:val="Header_4"/>
    <w:basedOn w:val="25"/>
    <w:link w:val="26"/>
    <w:uiPriority w:val="99"/>
    <w:pPr>
      <w:tabs>
        <w:tab w:val="center" w:pos="4677"/>
        <w:tab w:val="right" w:pos="9355"/>
      </w:tabs>
    </w:pPr>
  </w:style>
  <w:style w:type="paragraph" w:customStyle="1" w:styleId="25">
    <w:name w:val="Normal_5"/>
    <w:qFormat/>
    <w:uiPriority w:val="0"/>
    <w:rPr>
      <w:sz w:val="24"/>
      <w:szCs w:val="24"/>
      <w:lang w:val="ru-RU" w:eastAsia="ru-RU" w:bidi="ar-SA"/>
    </w:rPr>
  </w:style>
  <w:style w:type="character" w:customStyle="1" w:styleId="26">
    <w:name w:val="Верхний колонтитул Знак_4"/>
    <w:link w:val="24"/>
    <w:semiHidden/>
    <w:locked/>
    <w:uiPriority w:val="99"/>
    <w:rPr>
      <w:rFonts w:cs="Times New Roman"/>
      <w:sz w:val="24"/>
      <w:szCs w:val="24"/>
    </w:rPr>
  </w:style>
  <w:style w:type="paragraph" w:customStyle="1" w:styleId="27">
    <w:name w:val="Header_5"/>
    <w:basedOn w:val="28"/>
    <w:link w:val="29"/>
    <w:uiPriority w:val="99"/>
    <w:pPr>
      <w:tabs>
        <w:tab w:val="center" w:pos="4677"/>
        <w:tab w:val="right" w:pos="9355"/>
      </w:tabs>
    </w:pPr>
  </w:style>
  <w:style w:type="paragraph" w:customStyle="1" w:styleId="28">
    <w:name w:val="Normal_6"/>
    <w:qFormat/>
    <w:uiPriority w:val="0"/>
    <w:rPr>
      <w:sz w:val="24"/>
      <w:szCs w:val="24"/>
      <w:lang w:val="ru-RU" w:eastAsia="ru-RU" w:bidi="ar-SA"/>
    </w:rPr>
  </w:style>
  <w:style w:type="character" w:customStyle="1" w:styleId="29">
    <w:name w:val="Верхний колонтитул Знак_5"/>
    <w:link w:val="27"/>
    <w:semiHidden/>
    <w:locked/>
    <w:uiPriority w:val="99"/>
    <w:rPr>
      <w:rFonts w:cs="Times New Roman"/>
      <w:sz w:val="24"/>
      <w:szCs w:val="24"/>
    </w:rPr>
  </w:style>
  <w:style w:type="paragraph" w:customStyle="1" w:styleId="30">
    <w:name w:val="Header_6"/>
    <w:basedOn w:val="31"/>
    <w:link w:val="32"/>
    <w:uiPriority w:val="99"/>
    <w:pPr>
      <w:tabs>
        <w:tab w:val="center" w:pos="4677"/>
        <w:tab w:val="right" w:pos="9355"/>
      </w:tabs>
    </w:pPr>
  </w:style>
  <w:style w:type="paragraph" w:customStyle="1" w:styleId="31">
    <w:name w:val="Normal_7"/>
    <w:qFormat/>
    <w:uiPriority w:val="0"/>
    <w:rPr>
      <w:sz w:val="24"/>
      <w:szCs w:val="24"/>
      <w:lang w:val="ru-RU" w:eastAsia="ru-RU" w:bidi="ar-SA"/>
    </w:rPr>
  </w:style>
  <w:style w:type="character" w:customStyle="1" w:styleId="32">
    <w:name w:val="Верхний колонтитул Знак_6"/>
    <w:link w:val="30"/>
    <w:semiHidden/>
    <w:locked/>
    <w:uiPriority w:val="99"/>
    <w:rPr>
      <w:rFonts w:cs="Times New Roman"/>
      <w:sz w:val="24"/>
      <w:szCs w:val="24"/>
    </w:rPr>
  </w:style>
  <w:style w:type="paragraph" w:customStyle="1" w:styleId="33">
    <w:name w:val="Header_7"/>
    <w:basedOn w:val="34"/>
    <w:link w:val="35"/>
    <w:uiPriority w:val="99"/>
    <w:pPr>
      <w:tabs>
        <w:tab w:val="center" w:pos="4677"/>
        <w:tab w:val="right" w:pos="9355"/>
      </w:tabs>
    </w:pPr>
  </w:style>
  <w:style w:type="paragraph" w:customStyle="1" w:styleId="34">
    <w:name w:val="Normal_8"/>
    <w:qFormat/>
    <w:uiPriority w:val="0"/>
    <w:rPr>
      <w:sz w:val="24"/>
      <w:szCs w:val="24"/>
      <w:lang w:val="ru-RU" w:eastAsia="ru-RU" w:bidi="ar-SA"/>
    </w:rPr>
  </w:style>
  <w:style w:type="character" w:customStyle="1" w:styleId="35">
    <w:name w:val="Верхний колонтитул Знак_7"/>
    <w:link w:val="33"/>
    <w:semiHidden/>
    <w:locked/>
    <w:uiPriority w:val="99"/>
    <w:rPr>
      <w:rFonts w:cs="Times New Roman"/>
      <w:sz w:val="24"/>
      <w:szCs w:val="24"/>
    </w:rPr>
  </w:style>
  <w:style w:type="paragraph" w:customStyle="1" w:styleId="36">
    <w:name w:val="Header_8"/>
    <w:basedOn w:val="37"/>
    <w:link w:val="38"/>
    <w:uiPriority w:val="99"/>
    <w:pPr>
      <w:tabs>
        <w:tab w:val="center" w:pos="4677"/>
        <w:tab w:val="right" w:pos="9355"/>
      </w:tabs>
    </w:pPr>
  </w:style>
  <w:style w:type="paragraph" w:customStyle="1" w:styleId="37">
    <w:name w:val="Normal_9"/>
    <w:qFormat/>
    <w:uiPriority w:val="0"/>
    <w:rPr>
      <w:sz w:val="24"/>
      <w:szCs w:val="24"/>
      <w:lang w:val="ru-RU" w:eastAsia="ru-RU" w:bidi="ar-SA"/>
    </w:rPr>
  </w:style>
  <w:style w:type="character" w:customStyle="1" w:styleId="38">
    <w:name w:val="Верхний колонтитул Знак_8"/>
    <w:link w:val="36"/>
    <w:semiHidden/>
    <w:locked/>
    <w:uiPriority w:val="99"/>
    <w:rPr>
      <w:rFonts w:cs="Times New Roman"/>
      <w:sz w:val="24"/>
      <w:szCs w:val="24"/>
    </w:rPr>
  </w:style>
  <w:style w:type="paragraph" w:customStyle="1" w:styleId="39">
    <w:name w:val="Header_9"/>
    <w:basedOn w:val="40"/>
    <w:link w:val="41"/>
    <w:uiPriority w:val="99"/>
    <w:pPr>
      <w:tabs>
        <w:tab w:val="center" w:pos="4677"/>
        <w:tab w:val="right" w:pos="9355"/>
      </w:tabs>
    </w:pPr>
  </w:style>
  <w:style w:type="paragraph" w:customStyle="1" w:styleId="40">
    <w:name w:val="Normal_10"/>
    <w:qFormat/>
    <w:uiPriority w:val="0"/>
    <w:rPr>
      <w:sz w:val="24"/>
      <w:szCs w:val="24"/>
      <w:lang w:val="ru-RU" w:eastAsia="ru-RU" w:bidi="ar-SA"/>
    </w:rPr>
  </w:style>
  <w:style w:type="character" w:customStyle="1" w:styleId="41">
    <w:name w:val="Верхний колонтитул Знак_9"/>
    <w:link w:val="39"/>
    <w:semiHidden/>
    <w:locked/>
    <w:uiPriority w:val="99"/>
    <w:rPr>
      <w:rFonts w:cs="Times New Roman"/>
      <w:sz w:val="24"/>
      <w:szCs w:val="24"/>
    </w:rPr>
  </w:style>
  <w:style w:type="paragraph" w:customStyle="1" w:styleId="42">
    <w:name w:val="Header_10"/>
    <w:basedOn w:val="43"/>
    <w:link w:val="44"/>
    <w:uiPriority w:val="99"/>
    <w:pPr>
      <w:tabs>
        <w:tab w:val="center" w:pos="4677"/>
        <w:tab w:val="right" w:pos="9355"/>
      </w:tabs>
    </w:pPr>
  </w:style>
  <w:style w:type="paragraph" w:customStyle="1" w:styleId="43">
    <w:name w:val="Normal_11"/>
    <w:qFormat/>
    <w:uiPriority w:val="0"/>
    <w:rPr>
      <w:sz w:val="24"/>
      <w:szCs w:val="24"/>
      <w:lang w:val="ru-RU" w:eastAsia="ru-RU" w:bidi="ar-SA"/>
    </w:rPr>
  </w:style>
  <w:style w:type="character" w:customStyle="1" w:styleId="44">
    <w:name w:val="Верхний колонтитул Знак_10"/>
    <w:link w:val="42"/>
    <w:semiHidden/>
    <w:locked/>
    <w:uiPriority w:val="99"/>
    <w:rPr>
      <w:rFonts w:cs="Times New Roman"/>
      <w:sz w:val="24"/>
      <w:szCs w:val="24"/>
    </w:rPr>
  </w:style>
  <w:style w:type="paragraph" w:customStyle="1" w:styleId="45">
    <w:name w:val="Header_11"/>
    <w:basedOn w:val="46"/>
    <w:link w:val="47"/>
    <w:uiPriority w:val="99"/>
    <w:pPr>
      <w:tabs>
        <w:tab w:val="center" w:pos="4677"/>
        <w:tab w:val="right" w:pos="9355"/>
      </w:tabs>
    </w:pPr>
  </w:style>
  <w:style w:type="paragraph" w:customStyle="1" w:styleId="46">
    <w:name w:val="Normal_12"/>
    <w:qFormat/>
    <w:uiPriority w:val="0"/>
    <w:rPr>
      <w:sz w:val="24"/>
      <w:szCs w:val="24"/>
      <w:lang w:val="ru-RU" w:eastAsia="ru-RU" w:bidi="ar-SA"/>
    </w:rPr>
  </w:style>
  <w:style w:type="character" w:customStyle="1" w:styleId="47">
    <w:name w:val="Верхний колонтитул Знак_11"/>
    <w:link w:val="45"/>
    <w:semiHidden/>
    <w:locked/>
    <w:uiPriority w:val="99"/>
    <w:rPr>
      <w:rFonts w:cs="Times New Roman"/>
      <w:sz w:val="24"/>
      <w:szCs w:val="24"/>
    </w:rPr>
  </w:style>
  <w:style w:type="paragraph" w:customStyle="1" w:styleId="48">
    <w:name w:val="Normal_13"/>
    <w:qFormat/>
    <w:uiPriority w:val="0"/>
    <w:rPr>
      <w:sz w:val="24"/>
      <w:szCs w:val="24"/>
      <w:lang w:val="ru-RU" w:eastAsia="ru-RU" w:bidi="ar-SA"/>
    </w:rPr>
  </w:style>
  <w:style w:type="paragraph" w:customStyle="1" w:styleId="49">
    <w:name w:val="Normal_14"/>
    <w:qFormat/>
    <w:uiPriority w:val="0"/>
    <w:rPr>
      <w:sz w:val="24"/>
      <w:szCs w:val="24"/>
      <w:lang w:val="ru-RU" w:eastAsia="ru-RU" w:bidi="ar-SA"/>
    </w:rPr>
  </w:style>
  <w:style w:type="paragraph" w:customStyle="1" w:styleId="50">
    <w:name w:val="Normal_15"/>
    <w:qFormat/>
    <w:uiPriority w:val="0"/>
    <w:rPr>
      <w:sz w:val="24"/>
      <w:szCs w:val="24"/>
      <w:lang w:val="ru-RU" w:eastAsia="ru-RU" w:bidi="ar-SA"/>
    </w:rPr>
  </w:style>
  <w:style w:type="paragraph" w:customStyle="1" w:styleId="51">
    <w:name w:val="Normal_16"/>
    <w:qFormat/>
    <w:uiPriority w:val="0"/>
    <w:rPr>
      <w:sz w:val="24"/>
      <w:szCs w:val="24"/>
      <w:lang w:val="ru-RU" w:eastAsia="ru-RU" w:bidi="ar-SA"/>
    </w:rPr>
  </w:style>
  <w:style w:type="paragraph" w:customStyle="1" w:styleId="52">
    <w:name w:val="Normal_17"/>
    <w:qFormat/>
    <w:uiPriority w:val="0"/>
    <w:rPr>
      <w:sz w:val="24"/>
      <w:szCs w:val="24"/>
      <w:lang w:val="ru-RU" w:eastAsia="ru-RU" w:bidi="ar-SA"/>
    </w:rPr>
  </w:style>
  <w:style w:type="paragraph" w:customStyle="1" w:styleId="53">
    <w:name w:val="Normal_18"/>
    <w:qFormat/>
    <w:uiPriority w:val="0"/>
    <w:rPr>
      <w:sz w:val="24"/>
      <w:szCs w:val="24"/>
      <w:lang w:val="ru-RU" w:eastAsia="ru-RU" w:bidi="ar-SA"/>
    </w:rPr>
  </w:style>
  <w:style w:type="paragraph" w:customStyle="1" w:styleId="54">
    <w:name w:val="Normal_19"/>
    <w:qFormat/>
    <w:uiPriority w:val="0"/>
    <w:rPr>
      <w:sz w:val="24"/>
      <w:szCs w:val="24"/>
      <w:lang w:val="ru-RU" w:eastAsia="ru-RU" w:bidi="ar-SA"/>
    </w:rPr>
  </w:style>
  <w:style w:type="paragraph" w:customStyle="1" w:styleId="55">
    <w:name w:val="Normal_20"/>
    <w:qFormat/>
    <w:uiPriority w:val="0"/>
    <w:rPr>
      <w:sz w:val="24"/>
      <w:szCs w:val="24"/>
      <w:lang w:val="ru-RU" w:eastAsia="ru-RU" w:bidi="ar-SA"/>
    </w:rPr>
  </w:style>
  <w:style w:type="paragraph" w:customStyle="1" w:styleId="56">
    <w:name w:val="Normal_21"/>
    <w:qFormat/>
    <w:uiPriority w:val="0"/>
    <w:rPr>
      <w:sz w:val="24"/>
      <w:szCs w:val="24"/>
      <w:lang w:val="ru-RU" w:eastAsia="ru-RU" w:bidi="ar-SA"/>
    </w:rPr>
  </w:style>
  <w:style w:type="paragraph" w:customStyle="1" w:styleId="57">
    <w:name w:val="Normal_22"/>
    <w:qFormat/>
    <w:uiPriority w:val="0"/>
    <w:rPr>
      <w:sz w:val="24"/>
      <w:szCs w:val="24"/>
      <w:lang w:val="ru-RU" w:eastAsia="ru-RU" w:bidi="ar-SA"/>
    </w:rPr>
  </w:style>
  <w:style w:type="paragraph" w:customStyle="1" w:styleId="58">
    <w:name w:val="Normal_23"/>
    <w:qFormat/>
    <w:uiPriority w:val="0"/>
    <w:rPr>
      <w:sz w:val="24"/>
      <w:szCs w:val="24"/>
      <w:lang w:val="ru-RU" w:eastAsia="ru-RU" w:bidi="ar-SA"/>
    </w:rPr>
  </w:style>
  <w:style w:type="paragraph" w:customStyle="1" w:styleId="59">
    <w:name w:val="Normal_24"/>
    <w:qFormat/>
    <w:uiPriority w:val="0"/>
    <w:rPr>
      <w:sz w:val="24"/>
      <w:szCs w:val="24"/>
      <w:lang w:val="ru-RU" w:eastAsia="ru-RU" w:bidi="ar-SA"/>
    </w:rPr>
  </w:style>
  <w:style w:type="paragraph" w:customStyle="1" w:styleId="60">
    <w:name w:val="Normal_25"/>
    <w:qFormat/>
    <w:uiPriority w:val="0"/>
    <w:rPr>
      <w:sz w:val="24"/>
      <w:szCs w:val="24"/>
      <w:lang w:val="ru-RU" w:eastAsia="ru-RU" w:bidi="ar-SA"/>
    </w:rPr>
  </w:style>
  <w:style w:type="paragraph" w:customStyle="1" w:styleId="61">
    <w:name w:val="Normal_26"/>
    <w:qFormat/>
    <w:uiPriority w:val="0"/>
    <w:rPr>
      <w:sz w:val="24"/>
      <w:szCs w:val="24"/>
      <w:lang w:val="ru-RU" w:eastAsia="ru-RU" w:bidi="ar-SA"/>
    </w:rPr>
  </w:style>
  <w:style w:type="paragraph" w:customStyle="1" w:styleId="62">
    <w:name w:val="Normal_27"/>
    <w:qFormat/>
    <w:uiPriority w:val="0"/>
    <w:rPr>
      <w:sz w:val="24"/>
      <w:szCs w:val="24"/>
      <w:lang w:val="ru-RU" w:eastAsia="ru-RU" w:bidi="ar-SA"/>
    </w:rPr>
  </w:style>
  <w:style w:type="paragraph" w:customStyle="1" w:styleId="63">
    <w:name w:val="Normal_28"/>
    <w:qFormat/>
    <w:uiPriority w:val="0"/>
    <w:rPr>
      <w:sz w:val="24"/>
      <w:szCs w:val="24"/>
      <w:lang w:val="ru-RU" w:eastAsia="ru-RU" w:bidi="ar-SA"/>
    </w:rPr>
  </w:style>
  <w:style w:type="paragraph" w:customStyle="1" w:styleId="64">
    <w:name w:val="Normal_29"/>
    <w:qFormat/>
    <w:uiPriority w:val="0"/>
    <w:rPr>
      <w:sz w:val="24"/>
      <w:szCs w:val="24"/>
      <w:lang w:val="ru-RU" w:eastAsia="ru-RU" w:bidi="ar-SA"/>
    </w:rPr>
  </w:style>
  <w:style w:type="paragraph" w:customStyle="1" w:styleId="65">
    <w:name w:val="Normal_30"/>
    <w:qFormat/>
    <w:uiPriority w:val="0"/>
    <w:rPr>
      <w:sz w:val="24"/>
      <w:szCs w:val="24"/>
      <w:lang w:val="ru-RU" w:eastAsia="ru-RU" w:bidi="ar-SA"/>
    </w:rPr>
  </w:style>
  <w:style w:type="paragraph" w:customStyle="1" w:styleId="66">
    <w:name w:val="Normal_31"/>
    <w:qFormat/>
    <w:uiPriority w:val="0"/>
    <w:rPr>
      <w:sz w:val="24"/>
      <w:szCs w:val="24"/>
      <w:lang w:val="ru-RU" w:eastAsia="ru-RU" w:bidi="ar-SA"/>
    </w:rPr>
  </w:style>
  <w:style w:type="paragraph" w:customStyle="1" w:styleId="67">
    <w:name w:val="Normal_32"/>
    <w:qFormat/>
    <w:uiPriority w:val="0"/>
    <w:rPr>
      <w:sz w:val="24"/>
      <w:szCs w:val="24"/>
      <w:lang w:val="ru-RU" w:eastAsia="ru-RU" w:bidi="ar-SA"/>
    </w:rPr>
  </w:style>
  <w:style w:type="paragraph" w:customStyle="1" w:styleId="68">
    <w:name w:val="Normal_33"/>
    <w:qFormat/>
    <w:uiPriority w:val="0"/>
    <w:rPr>
      <w:sz w:val="24"/>
      <w:szCs w:val="24"/>
      <w:lang w:val="ru-RU" w:eastAsia="ru-RU" w:bidi="ar-SA"/>
    </w:rPr>
  </w:style>
  <w:style w:type="paragraph" w:customStyle="1" w:styleId="69">
    <w:name w:val="Normal_34"/>
    <w:qFormat/>
    <w:uiPriority w:val="0"/>
    <w:rPr>
      <w:sz w:val="24"/>
      <w:szCs w:val="24"/>
      <w:lang w:val="ru-RU" w:eastAsia="ru-RU" w:bidi="ar-SA"/>
    </w:rPr>
  </w:style>
  <w:style w:type="paragraph" w:customStyle="1" w:styleId="70">
    <w:name w:val="Normal_35"/>
    <w:qFormat/>
    <w:uiPriority w:val="0"/>
    <w:rPr>
      <w:sz w:val="24"/>
      <w:szCs w:val="24"/>
      <w:lang w:val="ru-RU" w:eastAsia="ru-RU" w:bidi="ar-SA"/>
    </w:rPr>
  </w:style>
  <w:style w:type="paragraph" w:customStyle="1" w:styleId="71">
    <w:name w:val="Normal_36"/>
    <w:qFormat/>
    <w:uiPriority w:val="0"/>
    <w:rPr>
      <w:sz w:val="24"/>
      <w:szCs w:val="24"/>
      <w:lang w:val="ru-RU" w:eastAsia="ru-RU" w:bidi="ar-SA"/>
    </w:rPr>
  </w:style>
  <w:style w:type="paragraph" w:customStyle="1" w:styleId="72">
    <w:name w:val="Normal_37"/>
    <w:qFormat/>
    <w:uiPriority w:val="0"/>
    <w:rPr>
      <w:rFonts w:ascii="Calibri" w:hAnsi="Calibri" w:eastAsia="Calibri"/>
      <w:lang w:val="ru-RU" w:eastAsia="ru-RU" w:bidi="ar-SA"/>
    </w:rPr>
  </w:style>
  <w:style w:type="paragraph" w:customStyle="1" w:styleId="73">
    <w:name w:val="Normal_38"/>
    <w:qFormat/>
    <w:uiPriority w:val="0"/>
    <w:rPr>
      <w:rFonts w:ascii="Calibri" w:hAnsi="Calibri" w:eastAsia="Calibri"/>
      <w:lang w:val="ru-RU" w:eastAsia="ru-RU" w:bidi="ar-SA"/>
    </w:rPr>
  </w:style>
  <w:style w:type="paragraph" w:customStyle="1" w:styleId="74">
    <w:name w:val="Normal_39"/>
    <w:qFormat/>
    <w:uiPriority w:val="0"/>
    <w:rPr>
      <w:rFonts w:ascii="Calibri" w:hAnsi="Calibri" w:eastAsia="Calibri"/>
      <w:lang w:val="ru-RU" w:eastAsia="ru-RU" w:bidi="ar-SA"/>
    </w:rPr>
  </w:style>
  <w:style w:type="paragraph" w:customStyle="1" w:styleId="75">
    <w:name w:val="Normal_40"/>
    <w:qFormat/>
    <w:uiPriority w:val="0"/>
    <w:rPr>
      <w:rFonts w:ascii="Calibri" w:hAnsi="Calibri" w:eastAsia="Calibri"/>
      <w:lang w:val="ru-RU" w:eastAsia="ru-RU" w:bidi="ar-SA"/>
    </w:rPr>
  </w:style>
  <w:style w:type="paragraph" w:customStyle="1" w:styleId="76">
    <w:name w:val="Normal_41"/>
    <w:qFormat/>
    <w:uiPriority w:val="0"/>
    <w:rPr>
      <w:rFonts w:ascii="Calibri" w:hAnsi="Calibri" w:eastAsia="Calibri"/>
      <w:lang w:val="ru-RU" w:eastAsia="ru-RU" w:bidi="ar-SA"/>
    </w:rPr>
  </w:style>
  <w:style w:type="paragraph" w:customStyle="1" w:styleId="77">
    <w:name w:val="Normal_42"/>
    <w:qFormat/>
    <w:uiPriority w:val="0"/>
    <w:rPr>
      <w:rFonts w:ascii="Calibri" w:hAnsi="Calibri" w:eastAsia="Calibri"/>
      <w:lang w:val="ru-RU" w:eastAsia="ru-RU" w:bidi="ar-SA"/>
    </w:rPr>
  </w:style>
  <w:style w:type="paragraph" w:customStyle="1" w:styleId="78">
    <w:name w:val="Normal_43"/>
    <w:qFormat/>
    <w:uiPriority w:val="0"/>
    <w:rPr>
      <w:rFonts w:ascii="Calibri" w:hAnsi="Calibri" w:eastAsia="Calibri"/>
      <w:lang w:val="ru-RU" w:eastAsia="ru-RU" w:bidi="ar-SA"/>
    </w:rPr>
  </w:style>
  <w:style w:type="paragraph" w:customStyle="1" w:styleId="79">
    <w:name w:val="Normal_44"/>
    <w:qFormat/>
    <w:uiPriority w:val="0"/>
    <w:rPr>
      <w:rFonts w:ascii="Calibri" w:hAnsi="Calibri" w:eastAsia="Calibri"/>
      <w:lang w:val="ru-RU" w:eastAsia="ru-RU" w:bidi="ar-SA"/>
    </w:rPr>
  </w:style>
  <w:style w:type="paragraph" w:customStyle="1" w:styleId="80">
    <w:name w:val="Normal_45"/>
    <w:qFormat/>
    <w:uiPriority w:val="0"/>
    <w:rPr>
      <w:rFonts w:ascii="Calibri" w:hAnsi="Calibri" w:eastAsia="Calibri"/>
      <w:lang w:val="ru-RU" w:eastAsia="ru-RU" w:bidi="ar-SA"/>
    </w:rPr>
  </w:style>
  <w:style w:type="paragraph" w:customStyle="1" w:styleId="81">
    <w:name w:val="Normal_13_0"/>
    <w:qFormat/>
    <w:uiPriority w:val="0"/>
    <w:rPr>
      <w:sz w:val="24"/>
      <w:szCs w:val="24"/>
      <w:lang w:val="ru-RU" w:eastAsia="ru-RU" w:bidi="ar-SA"/>
    </w:rPr>
  </w:style>
  <w:style w:type="paragraph" w:customStyle="1" w:styleId="82">
    <w:name w:val="Normal_13_1"/>
    <w:qFormat/>
    <w:uiPriority w:val="0"/>
    <w:rPr>
      <w:sz w:val="24"/>
      <w:szCs w:val="24"/>
      <w:lang w:val="ru-RU" w:eastAsia="ru-RU" w:bidi="ar-SA"/>
    </w:rPr>
  </w:style>
  <w:style w:type="paragraph" w:customStyle="1" w:styleId="83">
    <w:name w:val="Normal_46"/>
    <w:qFormat/>
    <w:uiPriority w:val="0"/>
    <w:rPr>
      <w:sz w:val="24"/>
      <w:szCs w:val="24"/>
      <w:lang w:val="ru-RU" w:eastAsia="ru-RU" w:bidi="ar-SA"/>
    </w:rPr>
  </w:style>
  <w:style w:type="paragraph" w:customStyle="1" w:styleId="84">
    <w:name w:val="Normal_47"/>
    <w:qFormat/>
    <w:uiPriority w:val="0"/>
    <w:rPr>
      <w:sz w:val="24"/>
      <w:szCs w:val="24"/>
      <w:lang w:val="ru-RU" w:eastAsia="ru-RU" w:bidi="ar-SA"/>
    </w:rPr>
  </w:style>
  <w:style w:type="paragraph" w:customStyle="1" w:styleId="85">
    <w:name w:val="Normal_48"/>
    <w:qFormat/>
    <w:uiPriority w:val="0"/>
    <w:rPr>
      <w:sz w:val="24"/>
      <w:szCs w:val="24"/>
      <w:lang w:val="ru-RU" w:eastAsia="ru-RU" w:bidi="ar-SA"/>
    </w:rPr>
  </w:style>
  <w:style w:type="paragraph" w:customStyle="1" w:styleId="86">
    <w:name w:val="Normal_49"/>
    <w:qFormat/>
    <w:uiPriority w:val="0"/>
    <w:rPr>
      <w:sz w:val="24"/>
      <w:szCs w:val="24"/>
      <w:lang w:val="ru-RU" w:eastAsia="ru-RU" w:bidi="ar-SA"/>
    </w:rPr>
  </w:style>
  <w:style w:type="paragraph" w:customStyle="1" w:styleId="87">
    <w:name w:val="Normal_50"/>
    <w:qFormat/>
    <w:uiPriority w:val="0"/>
    <w:rPr>
      <w:sz w:val="24"/>
      <w:szCs w:val="24"/>
      <w:lang w:val="ru-RU" w:eastAsia="ru-RU" w:bidi="ar-SA"/>
    </w:rPr>
  </w:style>
  <w:style w:type="paragraph" w:customStyle="1" w:styleId="88">
    <w:name w:val="Normal_51"/>
    <w:qFormat/>
    <w:uiPriority w:val="0"/>
    <w:rPr>
      <w:sz w:val="24"/>
      <w:szCs w:val="24"/>
      <w:lang w:val="ru-RU" w:eastAsia="ru-RU" w:bidi="ar-SA"/>
    </w:rPr>
  </w:style>
  <w:style w:type="paragraph" w:customStyle="1" w:styleId="89">
    <w:name w:val="Normal_52"/>
    <w:qFormat/>
    <w:uiPriority w:val="0"/>
    <w:rPr>
      <w:sz w:val="24"/>
      <w:szCs w:val="24"/>
      <w:lang w:val="ru-RU" w:eastAsia="ru-RU" w:bidi="ar-SA"/>
    </w:rPr>
  </w:style>
  <w:style w:type="paragraph" w:customStyle="1" w:styleId="90">
    <w:name w:val="Normal_53"/>
    <w:qFormat/>
    <w:uiPriority w:val="0"/>
    <w:rPr>
      <w:sz w:val="24"/>
      <w:szCs w:val="24"/>
      <w:lang w:val="ru-RU" w:eastAsia="ru-RU" w:bidi="ar-SA"/>
    </w:rPr>
  </w:style>
  <w:style w:type="paragraph" w:customStyle="1" w:styleId="91">
    <w:name w:val="Normal_54"/>
    <w:qFormat/>
    <w:uiPriority w:val="0"/>
    <w:rPr>
      <w:sz w:val="24"/>
      <w:szCs w:val="24"/>
      <w:lang w:val="ru-RU" w:eastAsia="ru-RU" w:bidi="ar-SA"/>
    </w:rPr>
  </w:style>
  <w:style w:type="paragraph" w:customStyle="1" w:styleId="92">
    <w:name w:val="Normal_55"/>
    <w:qFormat/>
    <w:uiPriority w:val="0"/>
    <w:rPr>
      <w:sz w:val="24"/>
      <w:szCs w:val="24"/>
      <w:lang w:val="ru-RU" w:eastAsia="ru-RU" w:bidi="ar-SA"/>
    </w:rPr>
  </w:style>
  <w:style w:type="paragraph" w:customStyle="1" w:styleId="93">
    <w:name w:val="Normal_56"/>
    <w:qFormat/>
    <w:uiPriority w:val="0"/>
    <w:rPr>
      <w:sz w:val="24"/>
      <w:szCs w:val="24"/>
      <w:lang w:val="ru-RU" w:eastAsia="ru-RU" w:bidi="ar-SA"/>
    </w:rPr>
  </w:style>
  <w:style w:type="paragraph" w:customStyle="1" w:styleId="94">
    <w:name w:val="Normal_57"/>
    <w:qFormat/>
    <w:uiPriority w:val="0"/>
    <w:rPr>
      <w:sz w:val="24"/>
      <w:szCs w:val="24"/>
      <w:lang w:val="ru-RU" w:eastAsia="ru-RU" w:bidi="ar-SA"/>
    </w:rPr>
  </w:style>
  <w:style w:type="paragraph" w:customStyle="1" w:styleId="95">
    <w:name w:val="Normal_58"/>
    <w:qFormat/>
    <w:uiPriority w:val="0"/>
    <w:rPr>
      <w:sz w:val="24"/>
      <w:szCs w:val="24"/>
      <w:lang w:val="ru-RU" w:eastAsia="ru-RU" w:bidi="ar-SA"/>
    </w:rPr>
  </w:style>
  <w:style w:type="paragraph" w:customStyle="1" w:styleId="96">
    <w:name w:val="Normal_59"/>
    <w:qFormat/>
    <w:uiPriority w:val="0"/>
    <w:rPr>
      <w:sz w:val="24"/>
      <w:szCs w:val="24"/>
      <w:lang w:val="ru-RU" w:eastAsia="ru-RU" w:bidi="ar-SA"/>
    </w:rPr>
  </w:style>
  <w:style w:type="paragraph" w:customStyle="1" w:styleId="97">
    <w:name w:val="Normal_60"/>
    <w:qFormat/>
    <w:uiPriority w:val="0"/>
    <w:rPr>
      <w:sz w:val="24"/>
      <w:szCs w:val="24"/>
      <w:lang w:val="ru-RU" w:eastAsia="ru-RU" w:bidi="ar-SA"/>
    </w:rPr>
  </w:style>
  <w:style w:type="paragraph" w:customStyle="1" w:styleId="98">
    <w:name w:val="Normal_61"/>
    <w:qFormat/>
    <w:uiPriority w:val="0"/>
    <w:rPr>
      <w:sz w:val="24"/>
      <w:szCs w:val="24"/>
      <w:lang w:val="ru-RU" w:eastAsia="ru-RU" w:bidi="ar-SA"/>
    </w:rPr>
  </w:style>
  <w:style w:type="paragraph" w:customStyle="1" w:styleId="99">
    <w:name w:val="Normal_62"/>
    <w:qFormat/>
    <w:uiPriority w:val="0"/>
    <w:rPr>
      <w:sz w:val="24"/>
      <w:szCs w:val="24"/>
      <w:lang w:val="ru-RU" w:eastAsia="ru-RU" w:bidi="ar-SA"/>
    </w:rPr>
  </w:style>
  <w:style w:type="paragraph" w:customStyle="1" w:styleId="100">
    <w:name w:val="Normal_63"/>
    <w:qFormat/>
    <w:uiPriority w:val="0"/>
    <w:rPr>
      <w:sz w:val="24"/>
      <w:szCs w:val="24"/>
      <w:lang w:val="ru-RU" w:eastAsia="ru-RU" w:bidi="ar-SA"/>
    </w:rPr>
  </w:style>
  <w:style w:type="paragraph" w:customStyle="1" w:styleId="101">
    <w:name w:val="Normal_64"/>
    <w:qFormat/>
    <w:uiPriority w:val="0"/>
    <w:rPr>
      <w:sz w:val="24"/>
      <w:szCs w:val="24"/>
      <w:lang w:val="ru-RU" w:eastAsia="ru-RU" w:bidi="ar-SA"/>
    </w:rPr>
  </w:style>
  <w:style w:type="paragraph" w:customStyle="1" w:styleId="102">
    <w:name w:val="Normal_65"/>
    <w:qFormat/>
    <w:uiPriority w:val="0"/>
    <w:rPr>
      <w:sz w:val="24"/>
      <w:szCs w:val="24"/>
      <w:lang w:val="ru-RU" w:eastAsia="ru-RU" w:bidi="ar-SA"/>
    </w:rPr>
  </w:style>
  <w:style w:type="paragraph" w:customStyle="1" w:styleId="103">
    <w:name w:val="Normal_66"/>
    <w:qFormat/>
    <w:uiPriority w:val="0"/>
    <w:rPr>
      <w:sz w:val="24"/>
      <w:szCs w:val="24"/>
      <w:lang w:val="ru-RU" w:eastAsia="ru-RU" w:bidi="ar-SA"/>
    </w:rPr>
  </w:style>
  <w:style w:type="paragraph" w:customStyle="1" w:styleId="104">
    <w:name w:val="Normal_67"/>
    <w:qFormat/>
    <w:uiPriority w:val="0"/>
    <w:rPr>
      <w:sz w:val="24"/>
      <w:szCs w:val="24"/>
      <w:lang w:val="ru-RU" w:eastAsia="ru-RU" w:bidi="ar-SA"/>
    </w:rPr>
  </w:style>
  <w:style w:type="paragraph" w:customStyle="1" w:styleId="105">
    <w:name w:val="Normal_68"/>
    <w:qFormat/>
    <w:uiPriority w:val="0"/>
    <w:rPr>
      <w:sz w:val="24"/>
      <w:szCs w:val="24"/>
      <w:lang w:val="ru-RU" w:eastAsia="ru-RU" w:bidi="ar-SA"/>
    </w:rPr>
  </w:style>
  <w:style w:type="paragraph" w:customStyle="1" w:styleId="106">
    <w:name w:val="Normal_69"/>
    <w:qFormat/>
    <w:uiPriority w:val="0"/>
    <w:rPr>
      <w:sz w:val="24"/>
      <w:szCs w:val="24"/>
      <w:lang w:val="ru-RU" w:eastAsia="ru-RU" w:bidi="ar-SA"/>
    </w:rPr>
  </w:style>
  <w:style w:type="paragraph" w:customStyle="1" w:styleId="107">
    <w:name w:val="Normal_70"/>
    <w:qFormat/>
    <w:uiPriority w:val="0"/>
    <w:rPr>
      <w:sz w:val="24"/>
      <w:szCs w:val="24"/>
      <w:lang w:val="ru-RU" w:eastAsia="ru-RU" w:bidi="ar-SA"/>
    </w:rPr>
  </w:style>
  <w:style w:type="paragraph" w:customStyle="1" w:styleId="108">
    <w:name w:val="Normal_71"/>
    <w:qFormat/>
    <w:uiPriority w:val="0"/>
    <w:rPr>
      <w:sz w:val="24"/>
      <w:szCs w:val="24"/>
      <w:lang w:val="ru-RU" w:eastAsia="ru-RU" w:bidi="ar-SA"/>
    </w:rPr>
  </w:style>
  <w:style w:type="paragraph" w:customStyle="1" w:styleId="109">
    <w:name w:val="Normal_72"/>
    <w:qFormat/>
    <w:uiPriority w:val="0"/>
    <w:rPr>
      <w:sz w:val="24"/>
      <w:szCs w:val="24"/>
      <w:lang w:val="ru-RU" w:eastAsia="ru-RU" w:bidi="ar-SA"/>
    </w:rPr>
  </w:style>
  <w:style w:type="paragraph" w:customStyle="1" w:styleId="110">
    <w:name w:val="Normal_73"/>
    <w:qFormat/>
    <w:uiPriority w:val="0"/>
    <w:rPr>
      <w:sz w:val="24"/>
      <w:szCs w:val="24"/>
      <w:lang w:val="ru-RU" w:eastAsia="ru-RU" w:bidi="ar-SA"/>
    </w:rPr>
  </w:style>
  <w:style w:type="paragraph" w:customStyle="1" w:styleId="111">
    <w:name w:val="Normal_74"/>
    <w:qFormat/>
    <w:uiPriority w:val="0"/>
    <w:rPr>
      <w:sz w:val="24"/>
      <w:szCs w:val="24"/>
      <w:lang w:val="ru-RU" w:eastAsia="ru-RU" w:bidi="ar-SA"/>
    </w:rPr>
  </w:style>
  <w:style w:type="paragraph" w:customStyle="1" w:styleId="112">
    <w:name w:val="Normal_75"/>
    <w:qFormat/>
    <w:uiPriority w:val="0"/>
    <w:rPr>
      <w:sz w:val="24"/>
      <w:szCs w:val="24"/>
      <w:lang w:val="ru-RU" w:eastAsia="ru-RU" w:bidi="ar-SA"/>
    </w:rPr>
  </w:style>
  <w:style w:type="paragraph" w:customStyle="1" w:styleId="113">
    <w:name w:val="Normal_76"/>
    <w:qFormat/>
    <w:uiPriority w:val="0"/>
    <w:rPr>
      <w:sz w:val="24"/>
      <w:szCs w:val="24"/>
      <w:lang w:val="ru-RU" w:eastAsia="ru-RU" w:bidi="ar-SA"/>
    </w:rPr>
  </w:style>
  <w:style w:type="paragraph" w:customStyle="1" w:styleId="114">
    <w:name w:val="Normal_77"/>
    <w:qFormat/>
    <w:uiPriority w:val="0"/>
    <w:rPr>
      <w:sz w:val="24"/>
      <w:szCs w:val="24"/>
      <w:lang w:val="ru-RU" w:eastAsia="ru-RU" w:bidi="ar-SA"/>
    </w:rPr>
  </w:style>
  <w:style w:type="paragraph" w:customStyle="1" w:styleId="115">
    <w:name w:val="Normal_78"/>
    <w:qFormat/>
    <w:uiPriority w:val="0"/>
    <w:rPr>
      <w:rFonts w:eastAsia="Calibri"/>
      <w:sz w:val="28"/>
      <w:lang w:val="ru-RU" w:eastAsia="ru-RU" w:bidi="ar-SA"/>
    </w:rPr>
  </w:style>
  <w:style w:type="paragraph" w:customStyle="1" w:styleId="116">
    <w:name w:val="Normal_79"/>
    <w:qFormat/>
    <w:uiPriority w:val="0"/>
    <w:rPr>
      <w:rFonts w:eastAsia="Calibri"/>
      <w:sz w:val="28"/>
      <w:lang w:val="ru-RU" w:eastAsia="ru-RU" w:bidi="ar-SA"/>
    </w:rPr>
  </w:style>
  <w:style w:type="table" w:customStyle="1" w:styleId="117">
    <w:name w:val="Table Grid_0"/>
    <w:basedOn w:val="5"/>
    <w:uiPriority w:val="59"/>
    <w:pPr>
      <w:spacing w:after="0" w:line="240" w:lineRule="auto"/>
    </w:pPr>
    <w:rPr>
      <w:rFonts w:eastAsia="Calibri" w:cs="Times New Roman"/>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8">
    <w:name w:val="Normal_80"/>
    <w:qFormat/>
    <w:uiPriority w:val="0"/>
    <w:rPr>
      <w:rFonts w:eastAsia="Calibri"/>
      <w:sz w:val="28"/>
      <w:lang w:val="ru-RU" w:eastAsia="ru-RU" w:bidi="ar-SA"/>
    </w:rPr>
  </w:style>
  <w:style w:type="character" w:customStyle="1" w:styleId="119">
    <w:name w:val="Нижний колонтитул Знак"/>
    <w:link w:val="7"/>
    <w:uiPriority w:val="99"/>
    <w:rPr>
      <w:sz w:val="24"/>
      <w:szCs w:val="24"/>
    </w:rPr>
  </w:style>
  <w:style w:type="character" w:customStyle="1" w:styleId="120">
    <w:name w:val="Основной текст Знак"/>
    <w:basedOn w:val="4"/>
    <w:link w:val="6"/>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ЗАО "СР-ДРАГа"</Company>
  <Pages>10</Pages>
  <Words>4867</Words>
  <Characters>27748</Characters>
  <Lines>231</Lines>
  <Paragraphs>65</Paragraphs>
  <TotalTime>0</TotalTime>
  <ScaleCrop>false</ScaleCrop>
  <LinksUpToDate>false</LinksUpToDate>
  <CharactersWithSpaces>32550</CharactersWithSpaces>
  <Application>WPS Office_12.1.23135.23135_F1E327BC-269C-435d-A152-05C5408002CA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2019-12-19T06:45:00Z</dcterms:created>
  <dc:creator>vt</dc:creator>
  <cp:lastModifiedBy>edgar</cp:lastModifiedBy>
  <cp:lastPrinted>2019-09-07T03:04:00Z</cp:lastPrinted>
  <dcterms:modified xsi:type="dcterms:W3CDTF">2025-10-22T17:48:16Z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1033-12.1.23135.23135</vt:lpwstr>
  </property>
  <property fmtid="{D5CDD505-2E9C-101B-9397-08002B2CF9AE}" pid="3" name="ICV">
    <vt:lpwstr>212A3BAF9C05DFAC507BF9686458249F_42</vt:lpwstr>
  </property>
</Properties>
</file>